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65885" w:rsidP="00065885" w:rsidRDefault="00065885" w14:paraId="7C9D179F" w14:textId="7AEE8BB5">
      <w:pPr>
        <w:rPr>
          <w:b/>
          <w:bCs/>
          <w:sz w:val="24"/>
          <w:szCs w:val="24"/>
        </w:rPr>
      </w:pPr>
      <w:r>
        <w:rPr>
          <w:b/>
          <w:bCs/>
          <w:sz w:val="36"/>
          <w:szCs w:val="36"/>
        </w:rPr>
        <w:t xml:space="preserve">Informe Cualitativo – Entrevista </w:t>
      </w:r>
      <w:proofErr w:type="spellStart"/>
      <w:r>
        <w:rPr>
          <w:b/>
          <w:bCs/>
          <w:sz w:val="36"/>
          <w:szCs w:val="36"/>
        </w:rPr>
        <w:t>PasarEx</w:t>
      </w:r>
      <w:proofErr w:type="spellEnd"/>
    </w:p>
    <w:p w:rsidR="00065885" w:rsidP="00E1345D" w:rsidRDefault="00065885" w14:paraId="6A617E06" w14:textId="77777777">
      <w:pPr>
        <w:spacing w:after="0" w:line="240" w:lineRule="auto"/>
        <w:rPr>
          <w:b/>
          <w:bCs/>
          <w:sz w:val="24"/>
          <w:szCs w:val="24"/>
        </w:rPr>
      </w:pPr>
    </w:p>
    <w:p w:rsidRPr="00406FA7" w:rsidR="00E1345D" w:rsidP="00E1345D" w:rsidRDefault="00406FA7" w14:paraId="5447802A" w14:textId="31A036C2">
      <w:pPr>
        <w:spacing w:after="0" w:line="240" w:lineRule="auto"/>
        <w:rPr>
          <w:b/>
          <w:bCs/>
          <w:sz w:val="20"/>
          <w:szCs w:val="20"/>
        </w:rPr>
      </w:pPr>
      <w:r w:rsidRPr="00406FA7">
        <w:rPr>
          <w:b/>
          <w:bCs/>
          <w:sz w:val="24"/>
          <w:szCs w:val="24"/>
        </w:rPr>
        <w:t>Percepción sobre Bogotá Ciudad Aeropuerto y relevancia estratégica del entorno</w:t>
      </w:r>
    </w:p>
    <w:p w:rsidR="00E1345D" w:rsidP="00E1345D" w:rsidRDefault="00E1345D" w14:paraId="40B30466" w14:textId="77777777">
      <w:pPr>
        <w:spacing w:after="0" w:line="240" w:lineRule="auto"/>
        <w:rPr>
          <w:sz w:val="20"/>
          <w:szCs w:val="20"/>
        </w:rPr>
      </w:pPr>
    </w:p>
    <w:p w:rsidR="00E1345D" w:rsidP="00E1345D" w:rsidRDefault="00E1345D" w14:paraId="70634D8D" w14:textId="25B60E18">
      <w:pPr>
        <w:spacing w:after="0" w:line="240" w:lineRule="auto"/>
        <w:rPr>
          <w:sz w:val="20"/>
          <w:szCs w:val="20"/>
        </w:rPr>
      </w:pPr>
      <w:r w:rsidRPr="00E1345D">
        <w:rPr>
          <w:sz w:val="20"/>
          <w:szCs w:val="20"/>
        </w:rPr>
        <w:t xml:space="preserve">La conversación con </w:t>
      </w:r>
      <w:proofErr w:type="spellStart"/>
      <w:r w:rsidRPr="00E1345D">
        <w:rPr>
          <w:sz w:val="20"/>
          <w:szCs w:val="20"/>
        </w:rPr>
        <w:t>PasarEx</w:t>
      </w:r>
      <w:proofErr w:type="spellEnd"/>
      <w:r w:rsidRPr="00E1345D">
        <w:rPr>
          <w:sz w:val="20"/>
          <w:szCs w:val="20"/>
        </w:rPr>
        <w:t xml:space="preserve"> revela una comprensión madura y estratégica del papel que juega el entorno aeroportuario en la competitividad logística del país. Desde el inicio, el entrevistado deja claro que la trayectoria de la empresa “está obligada realmente al crecimiento del aeropuerto” y que su permanencia dentro o en la frontera inmediata de El Dorado constituye un rasgo estructural de su modelo de negocio. Esta afirmación no solo contextualiza la dependencia logística que tienen del nodo aeroportuario, sino que introduce un marco para comprender todas las tensiones posteriores: la nacionalización rápida, la eficiencia de los eslabones logísticos, la reducción de tiempos y la capacidad de absorber picos de demanda dependen, casi en su totalidad, de la proximidad física y funcional a la rampa. La nacionalización realizada en cuestión de minutos, en lugar de horas o días, no es simplemente una mejora operativa; es el fundamento de la ventaja competitiva que la empresa sostiene frente a competidores que deben mover carga desde instalaciones externas. A partir de allí se observa un punto nodal: cualquier política urbana o estrategia de suelo que logre preservar y facilitar esta proximidad será percibida como favorable por la empresa; cualquier escenario que la obstaculice será considerado un riesgo estratégico.</w:t>
      </w:r>
    </w:p>
    <w:p w:rsidR="00293005" w:rsidP="00E1345D" w:rsidRDefault="00293005" w14:paraId="278238D0" w14:textId="77777777">
      <w:pPr>
        <w:spacing w:after="0" w:line="240" w:lineRule="auto"/>
        <w:rPr>
          <w:sz w:val="20"/>
          <w:szCs w:val="20"/>
        </w:rPr>
      </w:pPr>
    </w:p>
    <w:p w:rsidRPr="00293005" w:rsidR="00293005" w:rsidP="00E1345D" w:rsidRDefault="00293005" w14:paraId="72099A20" w14:textId="08F5358D">
      <w:pPr>
        <w:spacing w:after="0" w:line="240" w:lineRule="auto"/>
        <w:rPr>
          <w:b/>
          <w:bCs/>
          <w:sz w:val="24"/>
          <w:szCs w:val="24"/>
        </w:rPr>
      </w:pPr>
      <w:r w:rsidRPr="00293005">
        <w:rPr>
          <w:b/>
          <w:bCs/>
          <w:sz w:val="24"/>
          <w:szCs w:val="24"/>
        </w:rPr>
        <w:t>Caracterización de operación y necesidades logísticas</w:t>
      </w:r>
    </w:p>
    <w:p w:rsidRPr="00E1345D" w:rsidR="00293005" w:rsidP="00E1345D" w:rsidRDefault="00293005" w14:paraId="4716FCB2" w14:textId="77777777">
      <w:pPr>
        <w:spacing w:after="0" w:line="240" w:lineRule="auto"/>
        <w:rPr>
          <w:sz w:val="20"/>
          <w:szCs w:val="20"/>
        </w:rPr>
      </w:pPr>
    </w:p>
    <w:p w:rsidR="00E1345D" w:rsidP="00E1345D" w:rsidRDefault="00E1345D" w14:paraId="2CA2FC9B" w14:textId="77777777">
      <w:pPr>
        <w:spacing w:after="0" w:line="240" w:lineRule="auto"/>
        <w:rPr>
          <w:sz w:val="20"/>
          <w:szCs w:val="20"/>
        </w:rPr>
      </w:pPr>
      <w:r w:rsidRPr="00E1345D">
        <w:rPr>
          <w:sz w:val="20"/>
          <w:szCs w:val="20"/>
        </w:rPr>
        <w:t xml:space="preserve">La caracterización de la operación de </w:t>
      </w:r>
      <w:proofErr w:type="spellStart"/>
      <w:r w:rsidRPr="00E1345D">
        <w:rPr>
          <w:sz w:val="20"/>
          <w:szCs w:val="20"/>
        </w:rPr>
        <w:t>PasarEx</w:t>
      </w:r>
      <w:proofErr w:type="spellEnd"/>
      <w:r w:rsidRPr="00E1345D">
        <w:rPr>
          <w:sz w:val="20"/>
          <w:szCs w:val="20"/>
        </w:rPr>
        <w:t xml:space="preserve"> confirma esta centralidad. La empresa articula tres eslabones críticos —nacionalización, conexión nacional y última milla— que requieren coordinación fina y espacios adecuados. La magnitud de la operación, con promedios de 35.000 paquetes diarios y picos incrementales significativos en temporadas altas, tensiona la capacidad actual de sus instalaciones. El entrevistado lo expresa con claridad: “donde estamos ya está muy pequeño”, lo cual impide incorporar sistemas automatizados y obliga a trabajar “bien colombiano”, mediante mecanismos manuales de clasificación que, aunque funcionales, no les permiten competir en escalas tecnológicas similares a las de otros grandes operadores. Esta insuficiencia espacial no se traduce únicamente en una necesidad de metros cuadrados, sino también en la exigencia de un rediseño funcional de accesos, circulaciones internas, maniobras vehiculares y soporte de infraestructura. La empresa ha tenido que alquilar bodegas externas en temporada alta para evitar multas por ocupación de rampa, lo que confirma que no solo hay una necesidad de expansión, sino que el modelo logístico actual no puede sostenerse sin una transformación territorial más amplia.</w:t>
      </w:r>
    </w:p>
    <w:p w:rsidR="007F6014" w:rsidP="00E1345D" w:rsidRDefault="007F6014" w14:paraId="4F39F79D" w14:textId="77777777">
      <w:pPr>
        <w:spacing w:after="0" w:line="240" w:lineRule="auto"/>
        <w:rPr>
          <w:sz w:val="20"/>
          <w:szCs w:val="20"/>
        </w:rPr>
      </w:pPr>
    </w:p>
    <w:p w:rsidRPr="007F6014" w:rsidR="007F6014" w:rsidP="00E1345D" w:rsidRDefault="007F6014" w14:paraId="270A4BF8" w14:textId="6AA13CF3">
      <w:pPr>
        <w:spacing w:after="0" w:line="240" w:lineRule="auto"/>
        <w:rPr>
          <w:b/>
          <w:bCs/>
          <w:sz w:val="24"/>
          <w:szCs w:val="24"/>
        </w:rPr>
      </w:pPr>
      <w:r w:rsidRPr="007F6014">
        <w:rPr>
          <w:b/>
          <w:bCs/>
          <w:sz w:val="24"/>
          <w:szCs w:val="24"/>
        </w:rPr>
        <w:t>Expansión y tensiones con el entorno urbano inmediato</w:t>
      </w:r>
    </w:p>
    <w:p w:rsidRPr="00E1345D" w:rsidR="007F6014" w:rsidP="00E1345D" w:rsidRDefault="007F6014" w14:paraId="544FF2CC" w14:textId="77777777">
      <w:pPr>
        <w:spacing w:after="0" w:line="240" w:lineRule="auto"/>
        <w:rPr>
          <w:sz w:val="20"/>
          <w:szCs w:val="20"/>
        </w:rPr>
      </w:pPr>
    </w:p>
    <w:p w:rsidR="00E1345D" w:rsidP="00E1345D" w:rsidRDefault="00E1345D" w14:paraId="03C18CD2" w14:textId="77777777">
      <w:pPr>
        <w:spacing w:after="0" w:line="240" w:lineRule="auto"/>
        <w:rPr>
          <w:sz w:val="20"/>
          <w:szCs w:val="20"/>
        </w:rPr>
      </w:pPr>
      <w:r w:rsidRPr="00E1345D">
        <w:rPr>
          <w:sz w:val="20"/>
          <w:szCs w:val="20"/>
        </w:rPr>
        <w:t xml:space="preserve">En ese mismo sentido, el proceso de expansión que ya inició </w:t>
      </w:r>
      <w:proofErr w:type="spellStart"/>
      <w:r w:rsidRPr="00E1345D">
        <w:rPr>
          <w:sz w:val="20"/>
          <w:szCs w:val="20"/>
        </w:rPr>
        <w:t>PasarEx</w:t>
      </w:r>
      <w:proofErr w:type="spellEnd"/>
      <w:r w:rsidRPr="00E1345D">
        <w:rPr>
          <w:sz w:val="20"/>
          <w:szCs w:val="20"/>
        </w:rPr>
        <w:t xml:space="preserve"> —incluyendo la compra de un predio detrás del Hotel </w:t>
      </w:r>
      <w:proofErr w:type="spellStart"/>
      <w:r w:rsidRPr="00E1345D">
        <w:rPr>
          <w:sz w:val="20"/>
          <w:szCs w:val="20"/>
        </w:rPr>
        <w:t>Habitel</w:t>
      </w:r>
      <w:proofErr w:type="spellEnd"/>
      <w:r w:rsidRPr="00E1345D">
        <w:rPr>
          <w:sz w:val="20"/>
          <w:szCs w:val="20"/>
        </w:rPr>
        <w:t xml:space="preserve"> y el interés en adquirir viviendas colindantes— refleja la búsqueda de consolidar un polígono logístico viable que permita acompañar la futura transformación del aeropuerto. Sin embargo, la entrevista evidencia de manera muy clara las dificultades que enfrenta un privado para adquirir predios en entornos urbanos complejos y heterogéneos. El entrevistado, con experiencia previa en procesos urbanos, señala que las expectativas económicas de los propietarios suelen estar mediadas por una fuerte carga afectiva, lo cual dificulta acercar los precios a valores razonables de mercado. Este obstáculo no es nuevo en procesos de renovación urbana, pero en el caso del entorno aeroportuario adquiere un matiz particular: los residentes conviven con condiciones ambientales, de ruido y de movilidad que reducen la habitabilidad del área, pero siguen percibiendo su vivienda como un patrimonio irrenunciable. La tensión entre valor afectivo y valor urbanístico, sumada a la ausencia de acompañamiento institucional, conduce a negociaciones prolongadas y desgastantes.</w:t>
      </w:r>
    </w:p>
    <w:p w:rsidR="007F6014" w:rsidP="00E1345D" w:rsidRDefault="007F6014" w14:paraId="35A39648" w14:textId="77777777">
      <w:pPr>
        <w:spacing w:after="0" w:line="240" w:lineRule="auto"/>
        <w:rPr>
          <w:sz w:val="20"/>
          <w:szCs w:val="20"/>
        </w:rPr>
      </w:pPr>
    </w:p>
    <w:p w:rsidR="4C97DAC8" w:rsidP="4C97DAC8" w:rsidRDefault="4C97DAC8" w14:paraId="6C0966E2" w14:textId="26F54D95">
      <w:pPr>
        <w:spacing w:after="0" w:line="240" w:lineRule="auto"/>
        <w:rPr>
          <w:b w:val="1"/>
          <w:bCs w:val="1"/>
          <w:sz w:val="24"/>
          <w:szCs w:val="24"/>
        </w:rPr>
      </w:pPr>
    </w:p>
    <w:p w:rsidRPr="007F6014" w:rsidR="007F6014" w:rsidP="00E1345D" w:rsidRDefault="007F6014" w14:paraId="41696DF9" w14:textId="328F2958">
      <w:pPr>
        <w:spacing w:after="0" w:line="240" w:lineRule="auto"/>
        <w:rPr>
          <w:b/>
          <w:bCs/>
        </w:rPr>
      </w:pPr>
      <w:r w:rsidRPr="007F6014">
        <w:rPr>
          <w:b/>
          <w:bCs/>
          <w:sz w:val="24"/>
          <w:szCs w:val="24"/>
        </w:rPr>
        <w:t>Factores críticos para la localización de la infraestructura</w:t>
      </w:r>
    </w:p>
    <w:p w:rsidRPr="00E1345D" w:rsidR="007F6014" w:rsidP="00E1345D" w:rsidRDefault="007F6014" w14:paraId="4C74525E" w14:textId="77777777">
      <w:pPr>
        <w:spacing w:after="0" w:line="240" w:lineRule="auto"/>
        <w:rPr>
          <w:sz w:val="20"/>
          <w:szCs w:val="20"/>
        </w:rPr>
      </w:pPr>
    </w:p>
    <w:p w:rsidR="00E1345D" w:rsidP="00E1345D" w:rsidRDefault="00E1345D" w14:paraId="334404D8" w14:textId="77777777">
      <w:pPr>
        <w:spacing w:after="0" w:line="240" w:lineRule="auto"/>
        <w:rPr>
          <w:sz w:val="20"/>
          <w:szCs w:val="20"/>
        </w:rPr>
      </w:pPr>
      <w:r w:rsidRPr="00E1345D">
        <w:rPr>
          <w:sz w:val="20"/>
          <w:szCs w:val="20"/>
        </w:rPr>
        <w:t>La relación entre empresa, residentes y Distrito se convierte, entonces, en uno de los núcleos conceptuales de la entrevista. El entrevistado considera que el Distrito debería actuar como mediador, evitando que estas transacciones dependan exclusivamente de dinámicas privadas, las cuales tienden a ser asimétricas y, en muchos casos, incapaces de ofrecer soluciones dignas y equilibradas para los moradores. La referencia a la política de moradores surge como un mecanismo potencial para equilibrar intereses y crear soluciones mixtas de compensación, reubicación o participación en beneficios; sin embargo, el entrevistado también señala que estas figuras son más intuitivas en proyectos de vivienda que en desarrollos logísticos. Su razonamiento es contundente: en proyectos logísticos no existe un “producto final” que pueda ofrecérsele al propietario en compensación —como ocurre, por ejemplo, con apartamentos en desarrollos residenciales— y convertirlos en socios minoritarios podría generar riesgos e inequidades. Este dilema revela la necesidad de innovar institucionalmente, pues los esquemas convencionales de captura de valor o participación comunitaria no se ajustan con facilidad a operaciones de esta naturaleza.</w:t>
      </w:r>
    </w:p>
    <w:p w:rsidRPr="00E1345D" w:rsidR="00241CCD" w:rsidP="00E1345D" w:rsidRDefault="00241CCD" w14:paraId="3F9E1CA6" w14:textId="77777777">
      <w:pPr>
        <w:spacing w:after="0" w:line="240" w:lineRule="auto"/>
        <w:rPr>
          <w:sz w:val="20"/>
          <w:szCs w:val="20"/>
        </w:rPr>
      </w:pPr>
    </w:p>
    <w:p w:rsidR="00E1345D" w:rsidP="00E1345D" w:rsidRDefault="00E1345D" w14:paraId="537AA0EB" w14:textId="77777777">
      <w:pPr>
        <w:spacing w:after="0" w:line="240" w:lineRule="auto"/>
        <w:rPr>
          <w:sz w:val="20"/>
          <w:szCs w:val="20"/>
        </w:rPr>
      </w:pPr>
      <w:r w:rsidRPr="00E1345D">
        <w:rPr>
          <w:sz w:val="20"/>
          <w:szCs w:val="20"/>
        </w:rPr>
        <w:t xml:space="preserve">Otro de los aspectos especialmente reveladores de la entrevista es la discusión sobre factores críticos para la localización de infraestructura logística. La empresa prioriza la cercanía física al aeropuerto, la calidad de la conectividad vial, los tiempos de desplazamiento, la disponibilidad de talento humano y la infraestructura tecnológica. Sin embargo, el punto más sensible mencionado es el transporte público. La descripción del entrevistado sobre los turnos laborales (2:00 a.m., 6:00 a.m., 10:00 p.m.) y las limitaciones de </w:t>
      </w:r>
      <w:proofErr w:type="spellStart"/>
      <w:r w:rsidRPr="00E1345D">
        <w:rPr>
          <w:sz w:val="20"/>
          <w:szCs w:val="20"/>
        </w:rPr>
        <w:t>TransMilenio</w:t>
      </w:r>
      <w:proofErr w:type="spellEnd"/>
      <w:r w:rsidRPr="00E1345D">
        <w:rPr>
          <w:sz w:val="20"/>
          <w:szCs w:val="20"/>
        </w:rPr>
        <w:t xml:space="preserve"> en horarios y cobertura evidencia un problema estructural en la prestación del servicio para un nodo que funciona 24/7. La empresa debe asumir costos adicionales para movilizar trabajadores, lo cual afecta su competitividad y revela una desconexión entre la infraestructura de movilidad y la dinámica productiva del aeropuerto. La idea de que “el aeropuerto opera todo el día, pero la ciudad no” sintetiza la necesidad de una intervención urgente en movilidad y seguridad que responda a la escala real del ecosistema aeroportuario.</w:t>
      </w:r>
    </w:p>
    <w:p w:rsidRPr="00E1345D" w:rsidR="00B17C99" w:rsidP="00E1345D" w:rsidRDefault="00B17C99" w14:paraId="02134F40" w14:textId="77777777">
      <w:pPr>
        <w:spacing w:after="0" w:line="240" w:lineRule="auto"/>
        <w:rPr>
          <w:sz w:val="20"/>
          <w:szCs w:val="20"/>
        </w:rPr>
      </w:pPr>
    </w:p>
    <w:p w:rsidR="00E1345D" w:rsidP="00E1345D" w:rsidRDefault="00E1345D" w14:paraId="227C3808" w14:textId="77777777">
      <w:pPr>
        <w:spacing w:after="0" w:line="240" w:lineRule="auto"/>
        <w:rPr>
          <w:sz w:val="20"/>
          <w:szCs w:val="20"/>
        </w:rPr>
      </w:pPr>
      <w:r w:rsidRPr="00E1345D">
        <w:rPr>
          <w:sz w:val="20"/>
          <w:szCs w:val="20"/>
        </w:rPr>
        <w:t xml:space="preserve">Finalmente, la entrevista cierra con una visión que conecta la apuesta del Distrito con la proyección de la empresa. El entrevistado reconoce el enorme potencial del área para convertirse en un </w:t>
      </w:r>
      <w:proofErr w:type="spellStart"/>
      <w:r w:rsidRPr="00E1345D">
        <w:rPr>
          <w:sz w:val="20"/>
          <w:szCs w:val="20"/>
        </w:rPr>
        <w:t>hub</w:t>
      </w:r>
      <w:proofErr w:type="spellEnd"/>
      <w:r w:rsidRPr="00E1345D">
        <w:rPr>
          <w:sz w:val="20"/>
          <w:szCs w:val="20"/>
        </w:rPr>
        <w:t xml:space="preserve"> industrial aeronáutico y logístico de referencia regional. Para él, este proyecto —a diferencia de otros esfuerzos de renovación urbana en Bogotá— tiene un fundamento real en una actividad económica robusta que puede generar valor y empleo. No obstante, insiste en que este futuro depende de una gobernanza coordinada del suelo, de mecanismos efectivos de mediación social y de la capacidad de diseñar un entorno urbano funcional, seguro y tecnológicamente competitivo. La entrevista permite concluir que existe un alineamiento natural entre los intereses públicos y privados, pero que materializarlo requiere decisiones institucionales claras, modelos innovadores de asociación y una intervención estructural en movilidad y consolidación de suelo.</w:t>
      </w:r>
    </w:p>
    <w:p w:rsidR="009838FE" w:rsidP="00E1345D" w:rsidRDefault="009838FE" w14:paraId="60A6D831" w14:textId="77777777">
      <w:pPr>
        <w:spacing w:after="0" w:line="240" w:lineRule="auto"/>
        <w:rPr>
          <w:sz w:val="20"/>
          <w:szCs w:val="20"/>
        </w:rPr>
      </w:pPr>
    </w:p>
    <w:p w:rsidR="009838FE" w:rsidP="00E1345D" w:rsidRDefault="009838FE" w14:paraId="2AF93614" w14:textId="61BED7E8">
      <w:pPr>
        <w:spacing w:after="0" w:line="240" w:lineRule="auto"/>
        <w:rPr>
          <w:sz w:val="20"/>
          <w:szCs w:val="20"/>
        </w:rPr>
      </w:pPr>
      <w:r>
        <w:rPr>
          <w:sz w:val="20"/>
          <w:szCs w:val="20"/>
        </w:rPr>
        <w:t xml:space="preserve">A continuación, se presenta </w:t>
      </w:r>
      <w:r w:rsidR="00885145">
        <w:rPr>
          <w:sz w:val="20"/>
          <w:szCs w:val="20"/>
        </w:rPr>
        <w:t>la matriz</w:t>
      </w:r>
      <w:r w:rsidR="000A45E4">
        <w:rPr>
          <w:sz w:val="20"/>
          <w:szCs w:val="20"/>
        </w:rPr>
        <w:t xml:space="preserve"> resumen</w:t>
      </w:r>
      <w:r w:rsidR="00885145">
        <w:rPr>
          <w:sz w:val="20"/>
          <w:szCs w:val="20"/>
        </w:rPr>
        <w:t xml:space="preserve"> de hallazgos correspondiente a la información suministrada en la entrevista:</w:t>
      </w:r>
    </w:p>
    <w:p w:rsidR="00FE700F" w:rsidP="00E1345D" w:rsidRDefault="00FE700F" w14:paraId="59B22784" w14:textId="77777777">
      <w:pPr>
        <w:spacing w:after="0" w:line="240" w:lineRule="auto"/>
        <w:rPr>
          <w:sz w:val="20"/>
          <w:szCs w:val="20"/>
        </w:rPr>
      </w:pP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477"/>
        <w:gridCol w:w="1571"/>
        <w:gridCol w:w="2055"/>
        <w:gridCol w:w="1879"/>
        <w:gridCol w:w="2414"/>
      </w:tblGrid>
      <w:tr w:rsidRPr="00065885" w:rsidR="00D52473" w:rsidTr="00D52473" w14:paraId="47484325" w14:textId="77777777">
        <w:trPr>
          <w:tblHeader/>
          <w:tblCellSpacing w:w="15" w:type="dxa"/>
        </w:trPr>
        <w:tc>
          <w:tcPr>
            <w:tcW w:w="0" w:type="auto"/>
            <w:shd w:val="clear" w:color="auto" w:fill="D9D9D9" w:themeFill="background1" w:themeFillShade="D9"/>
            <w:vAlign w:val="center"/>
            <w:hideMark/>
          </w:tcPr>
          <w:p w:rsidRPr="00FE700F" w:rsidR="00FE700F" w:rsidP="00FE700F" w:rsidRDefault="00FE700F" w14:paraId="114C2544" w14:textId="77777777">
            <w:pPr>
              <w:spacing w:after="0" w:line="240" w:lineRule="auto"/>
              <w:jc w:val="center"/>
              <w:rPr>
                <w:rFonts w:eastAsia="Times New Roman" w:cs="Times New Roman"/>
                <w:b/>
                <w:bCs/>
                <w:kern w:val="0"/>
                <w:sz w:val="18"/>
                <w:szCs w:val="18"/>
                <w:lang w:eastAsia="es-MX"/>
              </w:rPr>
            </w:pPr>
            <w:r w:rsidRPr="00FE700F">
              <w:rPr>
                <w:rFonts w:eastAsia="Times New Roman" w:cs="Times New Roman"/>
                <w:b/>
                <w:bCs/>
                <w:kern w:val="0"/>
                <w:sz w:val="18"/>
                <w:szCs w:val="18"/>
                <w:lang w:eastAsia="es-MX"/>
              </w:rPr>
              <w:t>Tema / Dimensión</w:t>
            </w:r>
          </w:p>
        </w:tc>
        <w:tc>
          <w:tcPr>
            <w:tcW w:w="0" w:type="auto"/>
            <w:shd w:val="clear" w:color="auto" w:fill="D9D9D9" w:themeFill="background1" w:themeFillShade="D9"/>
            <w:vAlign w:val="center"/>
            <w:hideMark/>
          </w:tcPr>
          <w:p w:rsidRPr="00FE700F" w:rsidR="00FE700F" w:rsidP="00FE700F" w:rsidRDefault="00FE700F" w14:paraId="313E5900" w14:textId="77777777">
            <w:pPr>
              <w:suppressAutoHyphens w:val="0"/>
              <w:autoSpaceDN/>
              <w:spacing w:after="0" w:line="240" w:lineRule="auto"/>
              <w:jc w:val="center"/>
              <w:textAlignment w:val="auto"/>
              <w:rPr>
                <w:rFonts w:eastAsia="Times New Roman" w:cs="Times New Roman"/>
                <w:b/>
                <w:bCs/>
                <w:kern w:val="0"/>
                <w:sz w:val="18"/>
                <w:szCs w:val="18"/>
                <w:lang w:eastAsia="es-MX"/>
              </w:rPr>
            </w:pPr>
            <w:r w:rsidRPr="00FE700F">
              <w:rPr>
                <w:rFonts w:eastAsia="Times New Roman" w:cs="Times New Roman"/>
                <w:b/>
                <w:bCs/>
                <w:kern w:val="0"/>
                <w:sz w:val="18"/>
                <w:szCs w:val="18"/>
                <w:lang w:eastAsia="es-MX"/>
              </w:rPr>
              <w:t>Hallazgo o Problema Identificado</w:t>
            </w:r>
          </w:p>
        </w:tc>
        <w:tc>
          <w:tcPr>
            <w:tcW w:w="0" w:type="auto"/>
            <w:shd w:val="clear" w:color="auto" w:fill="D9D9D9" w:themeFill="background1" w:themeFillShade="D9"/>
            <w:vAlign w:val="center"/>
            <w:hideMark/>
          </w:tcPr>
          <w:p w:rsidRPr="00FE700F" w:rsidR="00FE700F" w:rsidP="00FE700F" w:rsidRDefault="00FE700F" w14:paraId="3FE930CA" w14:textId="77777777">
            <w:pPr>
              <w:suppressAutoHyphens w:val="0"/>
              <w:autoSpaceDN/>
              <w:spacing w:after="0" w:line="240" w:lineRule="auto"/>
              <w:jc w:val="center"/>
              <w:textAlignment w:val="auto"/>
              <w:rPr>
                <w:rFonts w:eastAsia="Times New Roman" w:cs="Times New Roman"/>
                <w:b/>
                <w:bCs/>
                <w:kern w:val="0"/>
                <w:sz w:val="18"/>
                <w:szCs w:val="18"/>
                <w:lang w:eastAsia="es-MX"/>
              </w:rPr>
            </w:pPr>
            <w:r w:rsidRPr="00FE700F">
              <w:rPr>
                <w:rFonts w:eastAsia="Times New Roman" w:cs="Times New Roman"/>
                <w:b/>
                <w:bCs/>
                <w:kern w:val="0"/>
                <w:sz w:val="18"/>
                <w:szCs w:val="18"/>
                <w:lang w:eastAsia="es-MX"/>
              </w:rPr>
              <w:t>Evidencia en la Entrevista</w:t>
            </w:r>
          </w:p>
        </w:tc>
        <w:tc>
          <w:tcPr>
            <w:tcW w:w="0" w:type="auto"/>
            <w:shd w:val="clear" w:color="auto" w:fill="D9D9D9" w:themeFill="background1" w:themeFillShade="D9"/>
            <w:vAlign w:val="center"/>
            <w:hideMark/>
          </w:tcPr>
          <w:p w:rsidRPr="00FE700F" w:rsidR="00FE700F" w:rsidP="00FE700F" w:rsidRDefault="00FE700F" w14:paraId="70017C6A" w14:textId="77777777">
            <w:pPr>
              <w:suppressAutoHyphens w:val="0"/>
              <w:autoSpaceDN/>
              <w:spacing w:after="0" w:line="240" w:lineRule="auto"/>
              <w:jc w:val="center"/>
              <w:textAlignment w:val="auto"/>
              <w:rPr>
                <w:rFonts w:eastAsia="Times New Roman" w:cs="Times New Roman"/>
                <w:b/>
                <w:bCs/>
                <w:kern w:val="0"/>
                <w:sz w:val="18"/>
                <w:szCs w:val="18"/>
                <w:lang w:eastAsia="es-MX"/>
              </w:rPr>
            </w:pPr>
            <w:r w:rsidRPr="00FE700F">
              <w:rPr>
                <w:rFonts w:eastAsia="Times New Roman" w:cs="Times New Roman"/>
                <w:b/>
                <w:bCs/>
                <w:kern w:val="0"/>
                <w:sz w:val="18"/>
                <w:szCs w:val="18"/>
                <w:lang w:eastAsia="es-MX"/>
              </w:rPr>
              <w:t>Interpretación Analítica</w:t>
            </w:r>
          </w:p>
        </w:tc>
        <w:tc>
          <w:tcPr>
            <w:tcW w:w="0" w:type="auto"/>
            <w:shd w:val="clear" w:color="auto" w:fill="D9D9D9" w:themeFill="background1" w:themeFillShade="D9"/>
            <w:vAlign w:val="center"/>
            <w:hideMark/>
          </w:tcPr>
          <w:p w:rsidRPr="00FE700F" w:rsidR="00FE700F" w:rsidP="00FE700F" w:rsidRDefault="00FE700F" w14:paraId="040ECFD8" w14:textId="77777777">
            <w:pPr>
              <w:suppressAutoHyphens w:val="0"/>
              <w:autoSpaceDN/>
              <w:spacing w:after="0" w:line="240" w:lineRule="auto"/>
              <w:jc w:val="center"/>
              <w:textAlignment w:val="auto"/>
              <w:rPr>
                <w:rFonts w:eastAsia="Times New Roman" w:cs="Times New Roman"/>
                <w:b/>
                <w:bCs/>
                <w:kern w:val="0"/>
                <w:sz w:val="18"/>
                <w:szCs w:val="18"/>
                <w:lang w:eastAsia="es-MX"/>
              </w:rPr>
            </w:pPr>
            <w:r w:rsidRPr="00FE700F">
              <w:rPr>
                <w:rFonts w:eastAsia="Times New Roman" w:cs="Times New Roman"/>
                <w:b/>
                <w:bCs/>
                <w:kern w:val="0"/>
                <w:sz w:val="18"/>
                <w:szCs w:val="18"/>
                <w:lang w:eastAsia="es-MX"/>
              </w:rPr>
              <w:t>Oportunidades para el Proyecto Bogotá Ciudad Aeropuerto</w:t>
            </w:r>
          </w:p>
        </w:tc>
      </w:tr>
      <w:tr w:rsidRPr="00065885" w:rsidR="00D52473" w:rsidTr="00D52473" w14:paraId="79AE602B" w14:textId="77777777">
        <w:trPr>
          <w:tblCellSpacing w:w="15" w:type="dxa"/>
        </w:trPr>
        <w:tc>
          <w:tcPr>
            <w:tcW w:w="0" w:type="auto"/>
            <w:vAlign w:val="center"/>
            <w:hideMark/>
          </w:tcPr>
          <w:p w:rsidRPr="00FE700F" w:rsidR="00FE700F" w:rsidP="00FE700F" w:rsidRDefault="00FE700F" w14:paraId="3A44CCB1"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Dependencia logística del aeropuerto</w:t>
            </w:r>
          </w:p>
        </w:tc>
        <w:tc>
          <w:tcPr>
            <w:tcW w:w="0" w:type="auto"/>
            <w:vAlign w:val="center"/>
            <w:hideMark/>
          </w:tcPr>
          <w:p w:rsidRPr="00FE700F" w:rsidR="00FE700F" w:rsidP="00FE700F" w:rsidRDefault="00FE700F" w14:paraId="7C6D6B81" w14:textId="77777777">
            <w:pPr>
              <w:suppressAutoHyphens w:val="0"/>
              <w:autoSpaceDN/>
              <w:spacing w:after="0" w:line="240" w:lineRule="auto"/>
              <w:jc w:val="left"/>
              <w:textAlignment w:val="auto"/>
              <w:rPr>
                <w:rFonts w:eastAsia="Times New Roman" w:cs="Times New Roman"/>
                <w:kern w:val="0"/>
                <w:sz w:val="18"/>
                <w:szCs w:val="18"/>
                <w:lang w:eastAsia="es-MX"/>
              </w:rPr>
            </w:pPr>
            <w:proofErr w:type="spellStart"/>
            <w:r w:rsidRPr="00FE700F">
              <w:rPr>
                <w:rFonts w:eastAsia="Times New Roman" w:cs="Times New Roman"/>
                <w:kern w:val="0"/>
                <w:sz w:val="18"/>
                <w:szCs w:val="18"/>
                <w:lang w:eastAsia="es-MX"/>
              </w:rPr>
              <w:t>PasarEx</w:t>
            </w:r>
            <w:proofErr w:type="spellEnd"/>
            <w:r w:rsidRPr="00FE700F">
              <w:rPr>
                <w:rFonts w:eastAsia="Times New Roman" w:cs="Times New Roman"/>
                <w:kern w:val="0"/>
                <w:sz w:val="18"/>
                <w:szCs w:val="18"/>
                <w:lang w:eastAsia="es-MX"/>
              </w:rPr>
              <w:t xml:space="preserve"> depende estructuralmente de operar dentro o muy cerca del aeropuerto.</w:t>
            </w:r>
          </w:p>
        </w:tc>
        <w:tc>
          <w:tcPr>
            <w:tcW w:w="0" w:type="auto"/>
            <w:vAlign w:val="center"/>
            <w:hideMark/>
          </w:tcPr>
          <w:p w:rsidRPr="00FE700F" w:rsidR="00FE700F" w:rsidP="00FE700F" w:rsidRDefault="00FE700F" w14:paraId="0CC21F77"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 xml:space="preserve">“La historia de </w:t>
            </w:r>
            <w:proofErr w:type="spellStart"/>
            <w:r w:rsidRPr="00FE700F">
              <w:rPr>
                <w:rFonts w:eastAsia="Times New Roman" w:cs="Times New Roman"/>
                <w:kern w:val="0"/>
                <w:sz w:val="18"/>
                <w:szCs w:val="18"/>
                <w:lang w:eastAsia="es-MX"/>
              </w:rPr>
              <w:t>PasarEx</w:t>
            </w:r>
            <w:proofErr w:type="spellEnd"/>
            <w:r w:rsidRPr="00FE700F">
              <w:rPr>
                <w:rFonts w:eastAsia="Times New Roman" w:cs="Times New Roman"/>
                <w:kern w:val="0"/>
                <w:sz w:val="18"/>
                <w:szCs w:val="18"/>
                <w:lang w:eastAsia="es-MX"/>
              </w:rPr>
              <w:t xml:space="preserve"> está obligada al crecimiento del aeropuerto”; operar dentro les ahorra hasta un día frente a competidores.</w:t>
            </w:r>
          </w:p>
        </w:tc>
        <w:tc>
          <w:tcPr>
            <w:tcW w:w="0" w:type="auto"/>
            <w:vAlign w:val="center"/>
            <w:hideMark/>
          </w:tcPr>
          <w:p w:rsidRPr="00FE700F" w:rsidR="00FE700F" w:rsidP="00FE700F" w:rsidRDefault="00FE700F" w14:paraId="0E3DC56A"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proximidad no es deseable sino indispensable: determina costos, tiempos y competitividad.</w:t>
            </w:r>
          </w:p>
        </w:tc>
        <w:tc>
          <w:tcPr>
            <w:tcW w:w="0" w:type="auto"/>
            <w:vAlign w:val="center"/>
            <w:hideMark/>
          </w:tcPr>
          <w:p w:rsidRPr="00FE700F" w:rsidR="00FE700F" w:rsidP="00FE700F" w:rsidRDefault="00FE700F" w14:paraId="72CB3B49"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Diseñar zonas logísticas que preserven distancias operativas críticas. Incorporar el criterio de proximidad como determinante en la zonificación de la ZIDA.</w:t>
            </w:r>
          </w:p>
        </w:tc>
      </w:tr>
      <w:tr w:rsidRPr="00065885" w:rsidR="00D52473" w:rsidTr="00D52473" w14:paraId="14414C84" w14:textId="77777777">
        <w:trPr>
          <w:tblCellSpacing w:w="15" w:type="dxa"/>
        </w:trPr>
        <w:tc>
          <w:tcPr>
            <w:tcW w:w="0" w:type="auto"/>
            <w:vAlign w:val="center"/>
            <w:hideMark/>
          </w:tcPr>
          <w:p w:rsidRPr="00FE700F" w:rsidR="00FE700F" w:rsidP="00FE700F" w:rsidRDefault="00FE700F" w14:paraId="31AC4D2E"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Limitaciones espaciales y tecnológicas</w:t>
            </w:r>
          </w:p>
        </w:tc>
        <w:tc>
          <w:tcPr>
            <w:tcW w:w="0" w:type="auto"/>
            <w:vAlign w:val="center"/>
            <w:hideMark/>
          </w:tcPr>
          <w:p w:rsidRPr="00FE700F" w:rsidR="00FE700F" w:rsidP="00FE700F" w:rsidRDefault="00FE700F" w14:paraId="3A19A56B"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infraestructura actual es insuficiente para escalar procesos y automatización.</w:t>
            </w:r>
          </w:p>
        </w:tc>
        <w:tc>
          <w:tcPr>
            <w:tcW w:w="0" w:type="auto"/>
            <w:vAlign w:val="center"/>
            <w:hideMark/>
          </w:tcPr>
          <w:p w:rsidRPr="00FE700F" w:rsidR="00FE700F" w:rsidP="00FE700F" w:rsidRDefault="00FE700F" w14:paraId="04EBCD32"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 xml:space="preserve">“Donde estamos ya está muy pequeño”; no pueden instalar </w:t>
            </w:r>
            <w:proofErr w:type="spellStart"/>
            <w:r w:rsidRPr="00FE700F">
              <w:rPr>
                <w:rFonts w:eastAsia="Times New Roman" w:cs="Times New Roman"/>
                <w:kern w:val="0"/>
                <w:sz w:val="18"/>
                <w:szCs w:val="18"/>
                <w:lang w:eastAsia="es-MX"/>
              </w:rPr>
              <w:t>sorter</w:t>
            </w:r>
            <w:proofErr w:type="spellEnd"/>
            <w:r w:rsidRPr="00FE700F">
              <w:rPr>
                <w:rFonts w:eastAsia="Times New Roman" w:cs="Times New Roman"/>
                <w:kern w:val="0"/>
                <w:sz w:val="18"/>
                <w:szCs w:val="18"/>
                <w:lang w:eastAsia="es-MX"/>
              </w:rPr>
              <w:t xml:space="preserve"> automatizado; deben alquilar bodegas adicionales en picos.</w:t>
            </w:r>
          </w:p>
        </w:tc>
        <w:tc>
          <w:tcPr>
            <w:tcW w:w="0" w:type="auto"/>
            <w:vAlign w:val="center"/>
            <w:hideMark/>
          </w:tcPr>
          <w:p w:rsidRPr="00FE700F" w:rsidR="00FE700F" w:rsidP="00FE700F" w:rsidRDefault="00FE700F" w14:paraId="652BAA0A"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empresa está operando al límite de su capacidad física, afectando eficiencia y costos.</w:t>
            </w:r>
          </w:p>
        </w:tc>
        <w:tc>
          <w:tcPr>
            <w:tcW w:w="0" w:type="auto"/>
            <w:vAlign w:val="center"/>
            <w:hideMark/>
          </w:tcPr>
          <w:p w:rsidRPr="00FE700F" w:rsidR="00FE700F" w:rsidP="00FE700F" w:rsidRDefault="00FE700F" w14:paraId="57272849"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Priorizar suelo para infraestructura logística de gran formato. Incentivar reconversión de usos y mejoras volumétricas.</w:t>
            </w:r>
          </w:p>
        </w:tc>
      </w:tr>
      <w:tr w:rsidRPr="00065885" w:rsidR="00D52473" w:rsidTr="00D52473" w14:paraId="529B270D" w14:textId="77777777">
        <w:trPr>
          <w:tblCellSpacing w:w="15" w:type="dxa"/>
        </w:trPr>
        <w:tc>
          <w:tcPr>
            <w:tcW w:w="0" w:type="auto"/>
            <w:vAlign w:val="center"/>
            <w:hideMark/>
          </w:tcPr>
          <w:p w:rsidRPr="00FE700F" w:rsidR="00FE700F" w:rsidP="00FE700F" w:rsidRDefault="00FE700F" w14:paraId="28212F2F"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Gestión de picos de demanda</w:t>
            </w:r>
          </w:p>
        </w:tc>
        <w:tc>
          <w:tcPr>
            <w:tcW w:w="0" w:type="auto"/>
            <w:vAlign w:val="center"/>
            <w:hideMark/>
          </w:tcPr>
          <w:p w:rsidRPr="00FE700F" w:rsidR="00FE700F" w:rsidP="00FE700F" w:rsidRDefault="00FE700F" w14:paraId="1C1BDFA4"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Temporada alta genera sobrecarga logística y multas por permanecer en rampa.</w:t>
            </w:r>
          </w:p>
        </w:tc>
        <w:tc>
          <w:tcPr>
            <w:tcW w:w="0" w:type="auto"/>
            <w:vAlign w:val="center"/>
            <w:hideMark/>
          </w:tcPr>
          <w:p w:rsidRPr="00FE700F" w:rsidR="00FE700F" w:rsidP="00FE700F" w:rsidRDefault="00FE700F" w14:paraId="745F4794"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“Nos toca alquilar bodegas… porque si no nos comen las multas”.</w:t>
            </w:r>
          </w:p>
        </w:tc>
        <w:tc>
          <w:tcPr>
            <w:tcW w:w="0" w:type="auto"/>
            <w:vAlign w:val="center"/>
            <w:hideMark/>
          </w:tcPr>
          <w:p w:rsidRPr="00FE700F" w:rsidR="00FE700F" w:rsidP="00FE700F" w:rsidRDefault="00FE700F" w14:paraId="0649F108"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El aeropuerto no cuenta con infraestructura flexible para cargas estacionales asociadas al e-</w:t>
            </w:r>
            <w:proofErr w:type="spellStart"/>
            <w:r w:rsidRPr="00FE700F">
              <w:rPr>
                <w:rFonts w:eastAsia="Times New Roman" w:cs="Times New Roman"/>
                <w:kern w:val="0"/>
                <w:sz w:val="18"/>
                <w:szCs w:val="18"/>
                <w:lang w:eastAsia="es-MX"/>
              </w:rPr>
              <w:t>commerce</w:t>
            </w:r>
            <w:proofErr w:type="spellEnd"/>
            <w:r w:rsidRPr="00FE700F">
              <w:rPr>
                <w:rFonts w:eastAsia="Times New Roman" w:cs="Times New Roman"/>
                <w:kern w:val="0"/>
                <w:sz w:val="18"/>
                <w:szCs w:val="18"/>
                <w:lang w:eastAsia="es-MX"/>
              </w:rPr>
              <w:t>.</w:t>
            </w:r>
          </w:p>
        </w:tc>
        <w:tc>
          <w:tcPr>
            <w:tcW w:w="0" w:type="auto"/>
            <w:vAlign w:val="center"/>
            <w:hideMark/>
          </w:tcPr>
          <w:p w:rsidRPr="00FE700F" w:rsidR="00FE700F" w:rsidP="00FE700F" w:rsidRDefault="00FE700F" w14:paraId="5DB0618C"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Evaluar creación de zonas temporales para manejo de picos; diseñar flexibilidad contractual en operación logística.</w:t>
            </w:r>
          </w:p>
        </w:tc>
      </w:tr>
      <w:tr w:rsidRPr="00065885" w:rsidR="00D52473" w:rsidTr="00D52473" w14:paraId="17721EC0" w14:textId="77777777">
        <w:trPr>
          <w:tblCellSpacing w:w="15" w:type="dxa"/>
        </w:trPr>
        <w:tc>
          <w:tcPr>
            <w:tcW w:w="0" w:type="auto"/>
            <w:vAlign w:val="center"/>
            <w:hideMark/>
          </w:tcPr>
          <w:p w:rsidRPr="00FE700F" w:rsidR="00FE700F" w:rsidP="00FE700F" w:rsidRDefault="00FE700F" w14:paraId="25360CD8"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Expansión condicionada por fragmentación predial</w:t>
            </w:r>
          </w:p>
        </w:tc>
        <w:tc>
          <w:tcPr>
            <w:tcW w:w="0" w:type="auto"/>
            <w:vAlign w:val="center"/>
            <w:hideMark/>
          </w:tcPr>
          <w:p w:rsidRPr="00FE700F" w:rsidR="00FE700F" w:rsidP="00FE700F" w:rsidRDefault="00FE700F" w14:paraId="25977C42"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Dificultad para adquirir viviendas colindantes por expectativas afectivas y falta de mediación.</w:t>
            </w:r>
          </w:p>
        </w:tc>
        <w:tc>
          <w:tcPr>
            <w:tcW w:w="0" w:type="auto"/>
            <w:vAlign w:val="center"/>
            <w:hideMark/>
          </w:tcPr>
          <w:p w:rsidRPr="00FE700F" w:rsidR="00FE700F" w:rsidP="00FE700F" w:rsidRDefault="00FE700F" w14:paraId="3F86B5E3"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“Las personas fijan expectativas muy altas… no pasan por la realidad urbanística sino sentimental.”</w:t>
            </w:r>
          </w:p>
        </w:tc>
        <w:tc>
          <w:tcPr>
            <w:tcW w:w="0" w:type="auto"/>
            <w:vAlign w:val="center"/>
            <w:hideMark/>
          </w:tcPr>
          <w:p w:rsidRPr="00FE700F" w:rsidR="00FE700F" w:rsidP="00FE700F" w:rsidRDefault="00FE700F" w14:paraId="2DFC8B00"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ausencia de gobernanza de suelo hace inviable la consolidación predial por vía exclusivamente privada.</w:t>
            </w:r>
          </w:p>
        </w:tc>
        <w:tc>
          <w:tcPr>
            <w:tcW w:w="0" w:type="auto"/>
            <w:vAlign w:val="center"/>
            <w:hideMark/>
          </w:tcPr>
          <w:p w:rsidRPr="00FE700F" w:rsidR="00FE700F" w:rsidP="00FE700F" w:rsidRDefault="00FE700F" w14:paraId="4C6D480E"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Activar mecanismos de Política de Moradores, englobes asistidos y mediación distrital. Crear instrumentos específicos para entornos logísticos.</w:t>
            </w:r>
          </w:p>
        </w:tc>
      </w:tr>
      <w:tr w:rsidRPr="00065885" w:rsidR="00D52473" w:rsidTr="00D52473" w14:paraId="0A1B8145" w14:textId="77777777">
        <w:trPr>
          <w:tblCellSpacing w:w="15" w:type="dxa"/>
        </w:trPr>
        <w:tc>
          <w:tcPr>
            <w:tcW w:w="0" w:type="auto"/>
            <w:vAlign w:val="center"/>
            <w:hideMark/>
          </w:tcPr>
          <w:p w:rsidRPr="00FE700F" w:rsidR="00FE700F" w:rsidP="00FE700F" w:rsidRDefault="00FE700F" w14:paraId="1012612D"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Tensión empresa–comunidad</w:t>
            </w:r>
          </w:p>
        </w:tc>
        <w:tc>
          <w:tcPr>
            <w:tcW w:w="0" w:type="auto"/>
            <w:vAlign w:val="center"/>
            <w:hideMark/>
          </w:tcPr>
          <w:p w:rsidRPr="00FE700F" w:rsidR="00FE700F" w:rsidP="00FE700F" w:rsidRDefault="00FE700F" w14:paraId="2C26C262"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Los modelos asociativos no resultan funcionales para logística.</w:t>
            </w:r>
          </w:p>
        </w:tc>
        <w:tc>
          <w:tcPr>
            <w:tcW w:w="0" w:type="auto"/>
            <w:vAlign w:val="center"/>
            <w:hideMark/>
          </w:tcPr>
          <w:p w:rsidRPr="00FE700F" w:rsidR="00FE700F" w:rsidP="00FE700F" w:rsidRDefault="00FE700F" w14:paraId="65FBE491"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“¿Qué les puedo ofrecer yo?… me tocaría volverlos socios… eso genera riesgos.”</w:t>
            </w:r>
          </w:p>
        </w:tc>
        <w:tc>
          <w:tcPr>
            <w:tcW w:w="0" w:type="auto"/>
            <w:vAlign w:val="center"/>
            <w:hideMark/>
          </w:tcPr>
          <w:p w:rsidRPr="00FE700F" w:rsidR="00FE700F" w:rsidP="00FE700F" w:rsidRDefault="00FE700F" w14:paraId="0B7C8D02"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El valor del suelo en logística no se traduce fácilmente en unidades de participación como ocurre en vivienda.</w:t>
            </w:r>
          </w:p>
        </w:tc>
        <w:tc>
          <w:tcPr>
            <w:tcW w:w="0" w:type="auto"/>
            <w:vAlign w:val="center"/>
            <w:hideMark/>
          </w:tcPr>
          <w:p w:rsidRPr="00FE700F" w:rsidR="00FE700F" w:rsidP="00FE700F" w:rsidRDefault="00FE700F" w14:paraId="443A42A5"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Diseñar modelos híbridos: compensación, reubicación preferente y participación en beneficios urbanos (mejoras de movilidad, mitigaciones, equipamientos).</w:t>
            </w:r>
          </w:p>
        </w:tc>
      </w:tr>
      <w:tr w:rsidRPr="00065885" w:rsidR="00D52473" w:rsidTr="00D52473" w14:paraId="4A1506FC" w14:textId="77777777">
        <w:trPr>
          <w:tblCellSpacing w:w="15" w:type="dxa"/>
        </w:trPr>
        <w:tc>
          <w:tcPr>
            <w:tcW w:w="0" w:type="auto"/>
            <w:vAlign w:val="center"/>
            <w:hideMark/>
          </w:tcPr>
          <w:p w:rsidRPr="00FE700F" w:rsidR="00FE700F" w:rsidP="00FE700F" w:rsidRDefault="00FE700F" w14:paraId="5C3AF8ED"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Rol insuficiente del Distrito en mediación y ordenamiento</w:t>
            </w:r>
          </w:p>
        </w:tc>
        <w:tc>
          <w:tcPr>
            <w:tcW w:w="0" w:type="auto"/>
            <w:vAlign w:val="center"/>
            <w:hideMark/>
          </w:tcPr>
          <w:p w:rsidRPr="00FE700F" w:rsidR="00FE700F" w:rsidP="00FE700F" w:rsidRDefault="00FE700F" w14:paraId="5D6C732A"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empresa percibe que el Distrito no acompaña los procesos en su fase crítica.</w:t>
            </w:r>
          </w:p>
        </w:tc>
        <w:tc>
          <w:tcPr>
            <w:tcW w:w="0" w:type="auto"/>
            <w:vAlign w:val="center"/>
            <w:hideMark/>
          </w:tcPr>
          <w:p w:rsidRPr="00FE700F" w:rsidR="00FE700F" w:rsidP="00FE700F" w:rsidRDefault="00FE700F" w14:paraId="248AEEA5"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“El Distrito debería entrar como réferi… no como juez y parte”; proyectos previos “no se llevan a cabo”.</w:t>
            </w:r>
          </w:p>
        </w:tc>
        <w:tc>
          <w:tcPr>
            <w:tcW w:w="0" w:type="auto"/>
            <w:vAlign w:val="center"/>
            <w:hideMark/>
          </w:tcPr>
          <w:p w:rsidRPr="00FE700F" w:rsidR="00FE700F" w:rsidP="00FE700F" w:rsidRDefault="00FE700F" w14:paraId="00F2085C"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ausencia de gobernanza compartida frena tanto iniciativas privadas como procesos comunitarios.</w:t>
            </w:r>
          </w:p>
        </w:tc>
        <w:tc>
          <w:tcPr>
            <w:tcW w:w="0" w:type="auto"/>
            <w:vAlign w:val="center"/>
            <w:hideMark/>
          </w:tcPr>
          <w:p w:rsidRPr="00FE700F" w:rsidR="00FE700F" w:rsidP="00FE700F" w:rsidRDefault="00FE700F" w14:paraId="603771C9"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Establecer una gerencia de proyecto o instancia intersectorial permanente para la ZIDA.</w:t>
            </w:r>
          </w:p>
        </w:tc>
      </w:tr>
      <w:tr w:rsidRPr="00065885" w:rsidR="00D52473" w:rsidTr="00D52473" w14:paraId="5347799A" w14:textId="77777777">
        <w:trPr>
          <w:tblCellSpacing w:w="15" w:type="dxa"/>
        </w:trPr>
        <w:tc>
          <w:tcPr>
            <w:tcW w:w="0" w:type="auto"/>
            <w:vAlign w:val="center"/>
            <w:hideMark/>
          </w:tcPr>
          <w:p w:rsidRPr="00FE700F" w:rsidR="00FE700F" w:rsidP="00FE700F" w:rsidRDefault="00FE700F" w14:paraId="23B9C41F"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Movilidad incompatible con la operación 24/7</w:t>
            </w:r>
          </w:p>
        </w:tc>
        <w:tc>
          <w:tcPr>
            <w:tcW w:w="0" w:type="auto"/>
            <w:vAlign w:val="center"/>
            <w:hideMark/>
          </w:tcPr>
          <w:p w:rsidRPr="00FE700F" w:rsidR="00FE700F" w:rsidP="00FE700F" w:rsidRDefault="00FE700F" w14:paraId="28A5932F" w14:textId="77777777">
            <w:pPr>
              <w:suppressAutoHyphens w:val="0"/>
              <w:autoSpaceDN/>
              <w:spacing w:after="0" w:line="240" w:lineRule="auto"/>
              <w:jc w:val="left"/>
              <w:textAlignment w:val="auto"/>
              <w:rPr>
                <w:rFonts w:eastAsia="Times New Roman" w:cs="Times New Roman"/>
                <w:kern w:val="0"/>
                <w:sz w:val="18"/>
                <w:szCs w:val="18"/>
                <w:lang w:eastAsia="es-MX"/>
              </w:rPr>
            </w:pPr>
            <w:proofErr w:type="spellStart"/>
            <w:r w:rsidRPr="00FE700F">
              <w:rPr>
                <w:rFonts w:eastAsia="Times New Roman" w:cs="Times New Roman"/>
                <w:kern w:val="0"/>
                <w:sz w:val="18"/>
                <w:szCs w:val="18"/>
                <w:lang w:eastAsia="es-MX"/>
              </w:rPr>
              <w:t>TransMilenio</w:t>
            </w:r>
            <w:proofErr w:type="spellEnd"/>
            <w:r w:rsidRPr="00FE700F">
              <w:rPr>
                <w:rFonts w:eastAsia="Times New Roman" w:cs="Times New Roman"/>
                <w:kern w:val="0"/>
                <w:sz w:val="18"/>
                <w:szCs w:val="18"/>
                <w:lang w:eastAsia="es-MX"/>
              </w:rPr>
              <w:t xml:space="preserve"> no opera con horarios, frecuencias ni seguridad adecuadas.</w:t>
            </w:r>
          </w:p>
        </w:tc>
        <w:tc>
          <w:tcPr>
            <w:tcW w:w="0" w:type="auto"/>
            <w:vAlign w:val="center"/>
            <w:hideMark/>
          </w:tcPr>
          <w:p w:rsidRPr="00FE700F" w:rsidR="00FE700F" w:rsidP="00FE700F" w:rsidRDefault="00FE700F" w14:paraId="730C3535"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“El aeropuerto opera todo el día pero TM no”; trabajadores deben llegar a las 2 a.m. o salir a medianoche.</w:t>
            </w:r>
          </w:p>
        </w:tc>
        <w:tc>
          <w:tcPr>
            <w:tcW w:w="0" w:type="auto"/>
            <w:vAlign w:val="center"/>
            <w:hideMark/>
          </w:tcPr>
          <w:p w:rsidRPr="00FE700F" w:rsidR="00FE700F" w:rsidP="00FE700F" w:rsidRDefault="00FE700F" w14:paraId="366228DE"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desconexión transporte–productividad encarece la operación y reduce bienestar laboral.</w:t>
            </w:r>
          </w:p>
        </w:tc>
        <w:tc>
          <w:tcPr>
            <w:tcW w:w="0" w:type="auto"/>
            <w:vAlign w:val="center"/>
            <w:hideMark/>
          </w:tcPr>
          <w:p w:rsidRPr="00FE700F" w:rsidR="00FE700F" w:rsidP="00FE700F" w:rsidRDefault="00FE700F" w14:paraId="6EC694CD"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Proponer rutas 24/7, frecuencias reforzadas en picos y mejoras de iluminación y seguridad. Integrar a la Comisión Intersectorial.</w:t>
            </w:r>
          </w:p>
        </w:tc>
      </w:tr>
      <w:tr w:rsidRPr="00065885" w:rsidR="00D52473" w:rsidTr="00D52473" w14:paraId="4EA8FEE2" w14:textId="77777777">
        <w:trPr>
          <w:tblCellSpacing w:w="15" w:type="dxa"/>
        </w:trPr>
        <w:tc>
          <w:tcPr>
            <w:tcW w:w="0" w:type="auto"/>
            <w:vAlign w:val="center"/>
            <w:hideMark/>
          </w:tcPr>
          <w:p w:rsidRPr="00FE700F" w:rsidR="00FE700F" w:rsidP="00FE700F" w:rsidRDefault="00FE700F" w14:paraId="7810EFD2"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Disponibilidad de talento humano</w:t>
            </w:r>
          </w:p>
        </w:tc>
        <w:tc>
          <w:tcPr>
            <w:tcW w:w="0" w:type="auto"/>
            <w:vAlign w:val="center"/>
            <w:hideMark/>
          </w:tcPr>
          <w:p w:rsidRPr="00FE700F" w:rsidR="00FE700F" w:rsidP="00FE700F" w:rsidRDefault="00FE700F" w14:paraId="3CCD3430"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Escasez de formación técnica especializada en el entorno.</w:t>
            </w:r>
          </w:p>
        </w:tc>
        <w:tc>
          <w:tcPr>
            <w:tcW w:w="0" w:type="auto"/>
            <w:vAlign w:val="center"/>
            <w:hideMark/>
          </w:tcPr>
          <w:p w:rsidRPr="00FE700F" w:rsidR="00FE700F" w:rsidP="00FE700F" w:rsidRDefault="00FE700F" w14:paraId="2757FAAB"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“Somos el puerto seco más importante… pero no hay SENA”.</w:t>
            </w:r>
          </w:p>
        </w:tc>
        <w:tc>
          <w:tcPr>
            <w:tcW w:w="0" w:type="auto"/>
            <w:vAlign w:val="center"/>
            <w:hideMark/>
          </w:tcPr>
          <w:p w:rsidRPr="00FE700F" w:rsidR="00FE700F" w:rsidP="00FE700F" w:rsidRDefault="00FE700F" w14:paraId="753834CE"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La ausencia de centros de formación limita la inserción laboral local y el desarrollo industrial.</w:t>
            </w:r>
          </w:p>
        </w:tc>
        <w:tc>
          <w:tcPr>
            <w:tcW w:w="0" w:type="auto"/>
            <w:vAlign w:val="center"/>
            <w:hideMark/>
          </w:tcPr>
          <w:p w:rsidRPr="00FE700F" w:rsidR="00FE700F" w:rsidP="00FE700F" w:rsidRDefault="00FE700F" w14:paraId="084EB601"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Acelerar instalación del SENA y crear clúster educativo aeronáutico/logístico con Desarrollo Económico y Atenea.</w:t>
            </w:r>
          </w:p>
        </w:tc>
      </w:tr>
      <w:tr w:rsidRPr="00065885" w:rsidR="00D52473" w:rsidTr="00D52473" w14:paraId="6C065AA1" w14:textId="77777777">
        <w:trPr>
          <w:tblCellSpacing w:w="15" w:type="dxa"/>
        </w:trPr>
        <w:tc>
          <w:tcPr>
            <w:tcW w:w="0" w:type="auto"/>
            <w:vAlign w:val="center"/>
            <w:hideMark/>
          </w:tcPr>
          <w:p w:rsidRPr="00FE700F" w:rsidR="00FE700F" w:rsidP="00FE700F" w:rsidRDefault="00FE700F" w14:paraId="4446F89F"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Competencia desigual con grandes operadores extranjeros</w:t>
            </w:r>
          </w:p>
        </w:tc>
        <w:tc>
          <w:tcPr>
            <w:tcW w:w="0" w:type="auto"/>
            <w:vAlign w:val="center"/>
            <w:hideMark/>
          </w:tcPr>
          <w:p w:rsidRPr="00FE700F" w:rsidR="00FE700F" w:rsidP="00FE700F" w:rsidRDefault="00FE700F" w14:paraId="71BCC167"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Riesgo de que empresas globales dominen el suelo por mayor capacidad financiera.</w:t>
            </w:r>
          </w:p>
        </w:tc>
        <w:tc>
          <w:tcPr>
            <w:tcW w:w="0" w:type="auto"/>
            <w:vAlign w:val="center"/>
            <w:hideMark/>
          </w:tcPr>
          <w:p w:rsidRPr="00FE700F" w:rsidR="00FE700F" w:rsidP="00FE700F" w:rsidRDefault="00FE700F" w14:paraId="71547DDB"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“Si Amazon quisiera operar directamente… nos aniquila”.</w:t>
            </w:r>
          </w:p>
        </w:tc>
        <w:tc>
          <w:tcPr>
            <w:tcW w:w="0" w:type="auto"/>
            <w:vAlign w:val="center"/>
            <w:hideMark/>
          </w:tcPr>
          <w:p w:rsidRPr="00FE700F" w:rsidR="00FE700F" w:rsidP="00FE700F" w:rsidRDefault="00FE700F" w14:paraId="516D3AE9"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Sin regulación de precios y mecanismos de acceso equitativo al suelo, los operadores nacionales quedan en desventaja.</w:t>
            </w:r>
          </w:p>
        </w:tc>
        <w:tc>
          <w:tcPr>
            <w:tcW w:w="0" w:type="auto"/>
            <w:vAlign w:val="center"/>
            <w:hideMark/>
          </w:tcPr>
          <w:p w:rsidRPr="00FE700F" w:rsidR="00FE700F" w:rsidP="00FE700F" w:rsidRDefault="00FE700F" w14:paraId="6679DC53"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Estudiar figuras de arriendo regulado, concesiones mixtas o reservas de suelo para operadores nacionales estratégicos.</w:t>
            </w:r>
          </w:p>
        </w:tc>
      </w:tr>
      <w:tr w:rsidRPr="00065885" w:rsidR="00D52473" w:rsidTr="00D52473" w14:paraId="5A869C7D" w14:textId="77777777">
        <w:trPr>
          <w:tblCellSpacing w:w="15" w:type="dxa"/>
        </w:trPr>
        <w:tc>
          <w:tcPr>
            <w:tcW w:w="0" w:type="auto"/>
            <w:vAlign w:val="center"/>
            <w:hideMark/>
          </w:tcPr>
          <w:p w:rsidRPr="00FE700F" w:rsidR="00FE700F" w:rsidP="00FE700F" w:rsidRDefault="00FE700F" w14:paraId="4ACFC3B4"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b/>
                <w:bCs/>
                <w:kern w:val="0"/>
                <w:sz w:val="18"/>
                <w:szCs w:val="18"/>
                <w:lang w:eastAsia="es-MX"/>
              </w:rPr>
              <w:t>Visión de futuro y potencial industrial</w:t>
            </w:r>
          </w:p>
        </w:tc>
        <w:tc>
          <w:tcPr>
            <w:tcW w:w="0" w:type="auto"/>
            <w:vAlign w:val="center"/>
            <w:hideMark/>
          </w:tcPr>
          <w:p w:rsidRPr="00FE700F" w:rsidR="00FE700F" w:rsidP="00FE700F" w:rsidRDefault="00FE700F" w14:paraId="1F93BBEA"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 xml:space="preserve">El entorno tiene capacidad para convertirse en un </w:t>
            </w:r>
            <w:proofErr w:type="spellStart"/>
            <w:r w:rsidRPr="00FE700F">
              <w:rPr>
                <w:rFonts w:eastAsia="Times New Roman" w:cs="Times New Roman"/>
                <w:kern w:val="0"/>
                <w:sz w:val="18"/>
                <w:szCs w:val="18"/>
                <w:lang w:eastAsia="es-MX"/>
              </w:rPr>
              <w:t>hub</w:t>
            </w:r>
            <w:proofErr w:type="spellEnd"/>
            <w:r w:rsidRPr="00FE700F">
              <w:rPr>
                <w:rFonts w:eastAsia="Times New Roman" w:cs="Times New Roman"/>
                <w:kern w:val="0"/>
                <w:sz w:val="18"/>
                <w:szCs w:val="18"/>
                <w:lang w:eastAsia="es-MX"/>
              </w:rPr>
              <w:t xml:space="preserve"> logístico e industrial aeronáutico.</w:t>
            </w:r>
          </w:p>
        </w:tc>
        <w:tc>
          <w:tcPr>
            <w:tcW w:w="0" w:type="auto"/>
            <w:vAlign w:val="center"/>
            <w:hideMark/>
          </w:tcPr>
          <w:p w:rsidRPr="00FE700F" w:rsidR="00FE700F" w:rsidP="00FE700F" w:rsidRDefault="00FE700F" w14:paraId="019CCC97"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“Puede ser ejemplo a nivel regional”; existe oportunidad industrial y de servicios avanzados.</w:t>
            </w:r>
          </w:p>
        </w:tc>
        <w:tc>
          <w:tcPr>
            <w:tcW w:w="0" w:type="auto"/>
            <w:vAlign w:val="center"/>
            <w:hideMark/>
          </w:tcPr>
          <w:p w:rsidRPr="00FE700F" w:rsidR="00FE700F" w:rsidP="00FE700F" w:rsidRDefault="00FE700F" w14:paraId="77616264"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El proyecto tiene un fundamento económico real, no solo urbanístico.</w:t>
            </w:r>
          </w:p>
        </w:tc>
        <w:tc>
          <w:tcPr>
            <w:tcW w:w="0" w:type="auto"/>
            <w:vAlign w:val="center"/>
            <w:hideMark/>
          </w:tcPr>
          <w:p w:rsidRPr="00FE700F" w:rsidR="00FE700F" w:rsidP="00FE700F" w:rsidRDefault="00FE700F" w14:paraId="6E08969B" w14:textId="77777777">
            <w:pPr>
              <w:suppressAutoHyphens w:val="0"/>
              <w:autoSpaceDN/>
              <w:spacing w:after="0" w:line="240" w:lineRule="auto"/>
              <w:jc w:val="left"/>
              <w:textAlignment w:val="auto"/>
              <w:rPr>
                <w:rFonts w:eastAsia="Times New Roman" w:cs="Times New Roman"/>
                <w:kern w:val="0"/>
                <w:sz w:val="18"/>
                <w:szCs w:val="18"/>
                <w:lang w:eastAsia="es-MX"/>
              </w:rPr>
            </w:pPr>
            <w:r w:rsidRPr="00FE700F">
              <w:rPr>
                <w:rFonts w:eastAsia="Times New Roman" w:cs="Times New Roman"/>
                <w:kern w:val="0"/>
                <w:sz w:val="18"/>
                <w:szCs w:val="18"/>
                <w:lang w:eastAsia="es-MX"/>
              </w:rPr>
              <w:t>Incorporar esta visión en el Plan Maestro: zona especializada en logística avanzada, industria aeronáutica ligera y servicios tecnológicos.</w:t>
            </w:r>
          </w:p>
        </w:tc>
      </w:tr>
    </w:tbl>
    <w:p w:rsidRPr="00E1345D" w:rsidR="00FE700F" w:rsidP="00E1345D" w:rsidRDefault="00FE700F" w14:paraId="5C942287" w14:textId="77777777">
      <w:pPr>
        <w:spacing w:after="0" w:line="240" w:lineRule="auto"/>
        <w:rPr>
          <w:sz w:val="20"/>
          <w:szCs w:val="20"/>
        </w:rPr>
      </w:pPr>
    </w:p>
    <w:p w:rsidRPr="00066227" w:rsidR="00066227" w:rsidP="00066227" w:rsidRDefault="00066227" w14:paraId="324BFCC9" w14:textId="77777777">
      <w:pPr>
        <w:suppressAutoHyphens w:val="0"/>
        <w:autoSpaceDN/>
        <w:spacing w:before="100" w:beforeAutospacing="1" w:after="100" w:afterAutospacing="1" w:line="240" w:lineRule="auto"/>
        <w:jc w:val="left"/>
        <w:textAlignment w:val="auto"/>
        <w:rPr>
          <w:rFonts w:eastAsia="Times New Roman" w:cs="Times New Roman"/>
          <w:kern w:val="0"/>
          <w:sz w:val="20"/>
          <w:szCs w:val="20"/>
          <w:lang w:eastAsia="es-MX"/>
        </w:rPr>
      </w:pPr>
      <w:r w:rsidRPr="00066227">
        <w:rPr>
          <w:rFonts w:eastAsia="Times New Roman" w:cs="Times New Roman"/>
          <w:kern w:val="0"/>
          <w:sz w:val="20"/>
          <w:szCs w:val="20"/>
          <w:lang w:eastAsia="es-MX"/>
        </w:rPr>
        <w:t xml:space="preserve">La entrevista evidencia una relación estructural entre las necesidades de </w:t>
      </w:r>
      <w:proofErr w:type="spellStart"/>
      <w:r w:rsidRPr="00066227">
        <w:rPr>
          <w:rFonts w:eastAsia="Times New Roman" w:cs="Times New Roman"/>
          <w:kern w:val="0"/>
          <w:sz w:val="20"/>
          <w:szCs w:val="20"/>
          <w:lang w:eastAsia="es-MX"/>
        </w:rPr>
        <w:t>PasarEx</w:t>
      </w:r>
      <w:proofErr w:type="spellEnd"/>
      <w:r w:rsidRPr="00066227">
        <w:rPr>
          <w:rFonts w:eastAsia="Times New Roman" w:cs="Times New Roman"/>
          <w:kern w:val="0"/>
          <w:sz w:val="20"/>
          <w:szCs w:val="20"/>
          <w:lang w:eastAsia="es-MX"/>
        </w:rPr>
        <w:t>, los retos del entorno aeroportuario y las ambiciones del proyecto Bogotá Ciudad Aeropuerto. El principal hallazgo transversal es la ausencia de una arquitectura institucional que permita alinear intereses de empresas, residentes y Distrito. Sin mediación pública, las operaciones de expansión se estancan, la consolidación predial se vuelve inviable y la competitividad logística se ve afectada por brechas urbanas persistentes.</w:t>
      </w:r>
    </w:p>
    <w:p w:rsidRPr="00066227" w:rsidR="00066227" w:rsidP="00066227" w:rsidRDefault="00066227" w14:paraId="282D80AA" w14:textId="77777777">
      <w:pPr>
        <w:suppressAutoHyphens w:val="0"/>
        <w:autoSpaceDN/>
        <w:spacing w:before="100" w:beforeAutospacing="1" w:after="100" w:afterAutospacing="1" w:line="240" w:lineRule="auto"/>
        <w:jc w:val="left"/>
        <w:textAlignment w:val="auto"/>
        <w:rPr>
          <w:rFonts w:eastAsia="Times New Roman" w:cs="Times New Roman"/>
          <w:kern w:val="0"/>
          <w:sz w:val="20"/>
          <w:szCs w:val="20"/>
          <w:lang w:eastAsia="es-MX"/>
        </w:rPr>
      </w:pPr>
      <w:r w:rsidRPr="00066227">
        <w:rPr>
          <w:rFonts w:eastAsia="Times New Roman" w:cs="Times New Roman"/>
          <w:kern w:val="0"/>
          <w:sz w:val="20"/>
          <w:szCs w:val="20"/>
          <w:lang w:eastAsia="es-MX"/>
        </w:rPr>
        <w:t>La matriz muestra que los desafíos no son solo de infraestructura, sino de gobernanza territorial, movilidad y transformación social. Esto abre oportunidades claras para que el proyecto actúe como articulador, modernizador y facilitador de un ecosistema logístico que ya opera a escala nacional pero que hoy carece de una base urbana acorde con su función estratégica.</w:t>
      </w:r>
    </w:p>
    <w:p w:rsidR="00662D4C" w:rsidRDefault="00662D4C" w14:paraId="2BFF11F7" w14:textId="77777777">
      <w:pPr>
        <w:spacing w:after="0" w:line="240" w:lineRule="auto"/>
        <w:rPr>
          <w:sz w:val="20"/>
          <w:szCs w:val="20"/>
          <w:lang w:val="es-ES"/>
        </w:rPr>
      </w:pPr>
    </w:p>
    <w:sectPr w:rsidR="00662D4C" w:rsidSect="00065885">
      <w:headerReference w:type="default" r:id="rId10"/>
      <w:footerReference w:type="default" r:id="rId11"/>
      <w:pgSz w:w="12242" w:h="15842" w:orient="portrait"/>
      <w:pgMar w:top="1418" w:right="1418" w:bottom="1418" w:left="1418"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B503E" w:rsidRDefault="005B503E" w14:paraId="5C867BDF" w14:textId="77777777">
      <w:pPr>
        <w:spacing w:after="0" w:line="240" w:lineRule="auto"/>
      </w:pPr>
      <w:r>
        <w:separator/>
      </w:r>
    </w:p>
  </w:endnote>
  <w:endnote w:type="continuationSeparator" w:id="0">
    <w:p w:rsidR="005B503E" w:rsidRDefault="005B503E" w14:paraId="0E84EC5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osis">
    <w:panose1 w:val="00000000000000000000"/>
    <w:charset w:val="00"/>
    <w:family w:val="auto"/>
    <w:pitch w:val="variable"/>
    <w:sig w:usb0="A00000BF" w:usb1="4000207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A0204"/>
    <w:charset w:val="00"/>
    <w:family w:val="swiss"/>
    <w:pitch w:val="variable"/>
    <w:sig w:usb0="00000287" w:usb1="000008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5" w:type="dxa"/>
      <w:tblLayout w:type="fixed"/>
      <w:tblCellMar>
        <w:left w:w="10" w:type="dxa"/>
        <w:right w:w="10" w:type="dxa"/>
      </w:tblCellMar>
      <w:tblLook w:val="04A0" w:firstRow="1" w:lastRow="0" w:firstColumn="1" w:lastColumn="0" w:noHBand="0" w:noVBand="1"/>
    </w:tblPr>
    <w:tblGrid>
      <w:gridCol w:w="3135"/>
      <w:gridCol w:w="3135"/>
      <w:gridCol w:w="3135"/>
    </w:tblGrid>
    <w:tr w:rsidR="00381DB9" w14:paraId="3F5C6AFA" w14:textId="77777777">
      <w:trPr>
        <w:trHeight w:val="300"/>
      </w:trPr>
      <w:tc>
        <w:tcPr>
          <w:tcW w:w="3135" w:type="dxa"/>
          <w:tcMar>
            <w:top w:w="0" w:type="dxa"/>
            <w:left w:w="108" w:type="dxa"/>
            <w:bottom w:w="0" w:type="dxa"/>
            <w:right w:w="108" w:type="dxa"/>
          </w:tcMar>
        </w:tcPr>
        <w:p w:rsidR="00226A40" w:rsidRDefault="00226A40" w14:paraId="7FBCACA8" w14:textId="77777777">
          <w:pPr>
            <w:pStyle w:val="Encabezado"/>
            <w:ind w:left="-115"/>
            <w:jc w:val="left"/>
          </w:pPr>
        </w:p>
      </w:tc>
      <w:tc>
        <w:tcPr>
          <w:tcW w:w="3135" w:type="dxa"/>
          <w:tcMar>
            <w:top w:w="0" w:type="dxa"/>
            <w:left w:w="108" w:type="dxa"/>
            <w:bottom w:w="0" w:type="dxa"/>
            <w:right w:w="108" w:type="dxa"/>
          </w:tcMar>
        </w:tcPr>
        <w:p w:rsidR="00226A40" w:rsidRDefault="00226A40" w14:paraId="0438B6F3" w14:textId="77777777">
          <w:pPr>
            <w:pStyle w:val="Encabezado"/>
            <w:jc w:val="center"/>
          </w:pPr>
        </w:p>
      </w:tc>
      <w:tc>
        <w:tcPr>
          <w:tcW w:w="3135" w:type="dxa"/>
          <w:tcMar>
            <w:top w:w="0" w:type="dxa"/>
            <w:left w:w="108" w:type="dxa"/>
            <w:bottom w:w="0" w:type="dxa"/>
            <w:right w:w="108" w:type="dxa"/>
          </w:tcMar>
        </w:tcPr>
        <w:p w:rsidR="00226A40" w:rsidRDefault="00226A40" w14:paraId="0ECF3CCE" w14:textId="77777777">
          <w:pPr>
            <w:pStyle w:val="Encabezado"/>
            <w:ind w:right="-115"/>
            <w:jc w:val="right"/>
          </w:pPr>
        </w:p>
      </w:tc>
    </w:tr>
  </w:tbl>
  <w:p w:rsidR="00226A40" w:rsidRDefault="00226A40" w14:paraId="5780BEE1"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B503E" w:rsidRDefault="005B503E" w14:paraId="25A3721F" w14:textId="77777777">
      <w:pPr>
        <w:spacing w:after="0" w:line="240" w:lineRule="auto"/>
      </w:pPr>
      <w:r>
        <w:rPr>
          <w:color w:val="000000"/>
        </w:rPr>
        <w:separator/>
      </w:r>
    </w:p>
  </w:footnote>
  <w:footnote w:type="continuationSeparator" w:id="0">
    <w:p w:rsidR="005B503E" w:rsidRDefault="005B503E" w14:paraId="4C60432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26A40" w:rsidRDefault="005B503E" w14:paraId="78DF181C" w14:textId="7ED99CB1">
    <w:pPr>
      <w:pStyle w:val="Encabezado"/>
      <w:ind w:left="-737"/>
      <w:jc w:val="center"/>
    </w:pPr>
    <w:r>
      <w:rPr>
        <w:noProof/>
      </w:rPr>
      <w:drawing>
        <wp:anchor distT="0" distB="0" distL="114300" distR="114300" simplePos="0" relativeHeight="251658240" behindDoc="1" locked="0" layoutInCell="1" allowOverlap="1" wp14:anchorId="6A73E45F" wp14:editId="6288655C">
          <wp:simplePos x="0" y="0"/>
          <wp:positionH relativeFrom="column">
            <wp:posOffset>-892810</wp:posOffset>
          </wp:positionH>
          <wp:positionV relativeFrom="paragraph">
            <wp:posOffset>0</wp:posOffset>
          </wp:positionV>
          <wp:extent cx="7777480" cy="1859915"/>
          <wp:effectExtent l="0" t="0" r="0" b="0"/>
          <wp:wrapTight wrapText="bothSides">
            <wp:wrapPolygon edited="0">
              <wp:start x="0" y="0"/>
              <wp:lineTo x="0" y="21386"/>
              <wp:lineTo x="21551" y="21386"/>
              <wp:lineTo x="21551" y="0"/>
              <wp:lineTo x="0" y="0"/>
            </wp:wrapPolygon>
          </wp:wrapTight>
          <wp:docPr id="773170964"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777480" cy="185991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6F05"/>
    <w:multiLevelType w:val="multilevel"/>
    <w:tmpl w:val="A8D69EF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61583190"/>
    <w:multiLevelType w:val="multilevel"/>
    <w:tmpl w:val="5202916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16cid:durableId="636300369">
    <w:abstractNumId w:val="0"/>
  </w:num>
  <w:num w:numId="2" w16cid:durableId="971253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D4C"/>
    <w:rsid w:val="00065885"/>
    <w:rsid w:val="00066227"/>
    <w:rsid w:val="000A45E4"/>
    <w:rsid w:val="00226A40"/>
    <w:rsid w:val="00241CCD"/>
    <w:rsid w:val="00293005"/>
    <w:rsid w:val="00406FA7"/>
    <w:rsid w:val="005B503E"/>
    <w:rsid w:val="00624C66"/>
    <w:rsid w:val="00662D4C"/>
    <w:rsid w:val="007F6014"/>
    <w:rsid w:val="00885145"/>
    <w:rsid w:val="009838FE"/>
    <w:rsid w:val="009A75F4"/>
    <w:rsid w:val="00A3474D"/>
    <w:rsid w:val="00AF4234"/>
    <w:rsid w:val="00B17C99"/>
    <w:rsid w:val="00D06C4B"/>
    <w:rsid w:val="00D514E4"/>
    <w:rsid w:val="00D52473"/>
    <w:rsid w:val="00DB544E"/>
    <w:rsid w:val="00E1345D"/>
    <w:rsid w:val="00F8100C"/>
    <w:rsid w:val="00FC2474"/>
    <w:rsid w:val="00FE700F"/>
    <w:rsid w:val="4C97DAC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00E75"/>
  <w15:docId w15:val="{F3102FDD-68D8-EA45-ABCC-985BBE23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rial"/>
        <w:kern w:val="3"/>
        <w:sz w:val="24"/>
        <w:szCs w:val="24"/>
        <w:lang w:val="es-ES" w:eastAsia="en-US" w:bidi="ar-SA"/>
      </w:rPr>
    </w:rPrDefault>
    <w:pPrDefault>
      <w:pPr>
        <w:autoSpaceDN w:val="0"/>
        <w:spacing w:after="16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line="256" w:lineRule="auto"/>
      <w:jc w:val="both"/>
    </w:pPr>
    <w:rPr>
      <w:rFonts w:ascii="Dosis" w:hAnsi="Dosis"/>
      <w:sz w:val="22"/>
      <w:szCs w:val="22"/>
      <w:lang w:val="es-CO"/>
    </w:rPr>
  </w:style>
  <w:style w:type="paragraph" w:styleId="Ttulo1">
    <w:name w:val="heading 1"/>
    <w:basedOn w:val="Normal"/>
    <w:next w:val="Normal"/>
    <w:uiPriority w:val="9"/>
    <w:qFormat/>
    <w:pPr>
      <w:keepNext/>
      <w:keepLines/>
      <w:spacing w:before="360" w:after="80"/>
      <w:outlineLvl w:val="0"/>
    </w:pPr>
    <w:rPr>
      <w:rFonts w:eastAsia="Yu Gothic Light" w:cs="Times New Roman"/>
      <w:b/>
      <w:sz w:val="32"/>
      <w:szCs w:val="40"/>
    </w:rPr>
  </w:style>
  <w:style w:type="paragraph" w:styleId="Ttulo2">
    <w:name w:val="heading 2"/>
    <w:basedOn w:val="Normal"/>
    <w:next w:val="Normal"/>
    <w:uiPriority w:val="9"/>
    <w:semiHidden/>
    <w:unhideWhenUsed/>
    <w:qFormat/>
    <w:pPr>
      <w:keepNext/>
      <w:keepLines/>
      <w:spacing w:before="160" w:after="80"/>
      <w:outlineLvl w:val="1"/>
    </w:pPr>
    <w:rPr>
      <w:rFonts w:eastAsia="Yu Gothic Light" w:cs="Times New Roman"/>
      <w:b/>
      <w:sz w:val="26"/>
      <w:szCs w:val="32"/>
    </w:rPr>
  </w:style>
  <w:style w:type="paragraph" w:styleId="Ttulo3">
    <w:name w:val="heading 3"/>
    <w:basedOn w:val="Normal"/>
    <w:next w:val="Normal"/>
    <w:uiPriority w:val="9"/>
    <w:semiHidden/>
    <w:unhideWhenUsed/>
    <w:qFormat/>
    <w:pPr>
      <w:keepNext/>
      <w:keepLines/>
      <w:spacing w:before="160" w:after="80"/>
      <w:outlineLvl w:val="2"/>
    </w:pPr>
    <w:rPr>
      <w:rFonts w:eastAsia="Yu Gothic Light" w:cs="Times New Roman"/>
      <w:b/>
      <w:sz w:val="24"/>
      <w:szCs w:val="28"/>
    </w:rPr>
  </w:style>
  <w:style w:type="paragraph" w:styleId="Ttulo4">
    <w:name w:val="heading 4"/>
    <w:basedOn w:val="Normal"/>
    <w:next w:val="Normal"/>
    <w:uiPriority w:val="9"/>
    <w:semiHidden/>
    <w:unhideWhenUsed/>
    <w:qFormat/>
    <w:pPr>
      <w:keepNext/>
      <w:keepLines/>
      <w:spacing w:before="80" w:after="40"/>
      <w:outlineLvl w:val="3"/>
    </w:pPr>
    <w:rPr>
      <w:rFonts w:eastAsia="Yu Gothic Light" w:cs="Times New Roman"/>
      <w:iCs/>
      <w:u w:val="single"/>
    </w:rPr>
  </w:style>
  <w:style w:type="paragraph" w:styleId="Ttulo5">
    <w:name w:val="heading 5"/>
    <w:basedOn w:val="Normal"/>
    <w:next w:val="Normal"/>
    <w:uiPriority w:val="9"/>
    <w:semiHidden/>
    <w:unhideWhenUsed/>
    <w:qFormat/>
    <w:pPr>
      <w:keepNext/>
      <w:keepLines/>
      <w:spacing w:before="80" w:after="40"/>
      <w:outlineLvl w:val="4"/>
    </w:pPr>
    <w:rPr>
      <w:rFonts w:eastAsia="Yu Gothic Light" w:cs="Times New Roman"/>
      <w:color w:val="0F4761"/>
    </w:rPr>
  </w:style>
  <w:style w:type="paragraph" w:styleId="Ttulo6">
    <w:name w:val="heading 6"/>
    <w:basedOn w:val="Normal"/>
    <w:next w:val="Normal"/>
    <w:uiPriority w:val="9"/>
    <w:semiHidden/>
    <w:unhideWhenUsed/>
    <w:qFormat/>
    <w:pPr>
      <w:keepNext/>
      <w:keepLines/>
      <w:spacing w:before="40" w:after="0"/>
      <w:outlineLvl w:val="5"/>
    </w:pPr>
    <w:rPr>
      <w:rFonts w:eastAsia="Yu Gothic Light" w:cs="Times New Roman"/>
      <w:i/>
      <w:iCs/>
      <w:color w:val="595959"/>
    </w:rPr>
  </w:style>
  <w:style w:type="paragraph" w:styleId="Ttulo7">
    <w:name w:val="heading 7"/>
    <w:basedOn w:val="Normal"/>
    <w:next w:val="Normal"/>
    <w:pPr>
      <w:keepNext/>
      <w:keepLines/>
      <w:spacing w:before="40" w:after="0"/>
      <w:outlineLvl w:val="6"/>
    </w:pPr>
    <w:rPr>
      <w:rFonts w:eastAsia="Yu Gothic Light" w:cs="Times New Roman"/>
      <w:color w:val="595959"/>
    </w:rPr>
  </w:style>
  <w:style w:type="paragraph" w:styleId="Ttulo8">
    <w:name w:val="heading 8"/>
    <w:basedOn w:val="Normal"/>
    <w:next w:val="Normal"/>
    <w:pPr>
      <w:keepNext/>
      <w:keepLines/>
      <w:spacing w:after="0"/>
      <w:outlineLvl w:val="7"/>
    </w:pPr>
    <w:rPr>
      <w:rFonts w:eastAsia="Yu Gothic Light" w:cs="Times New Roman"/>
      <w:i/>
      <w:iCs/>
      <w:color w:val="272727"/>
    </w:rPr>
  </w:style>
  <w:style w:type="paragraph" w:styleId="Ttulo9">
    <w:name w:val="heading 9"/>
    <w:basedOn w:val="Normal"/>
    <w:next w:val="Normal"/>
    <w:pPr>
      <w:keepNext/>
      <w:keepLines/>
      <w:spacing w:after="0"/>
      <w:outlineLvl w:val="8"/>
    </w:pPr>
    <w:rPr>
      <w:rFonts w:eastAsia="Yu Gothic Light" w:cs="Times New Roman"/>
      <w:color w:val="272727"/>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rPr>
      <w:rFonts w:ascii="Dosis" w:hAnsi="Dosis" w:eastAsia="Yu Gothic Light" w:cs="Times New Roman"/>
      <w:b/>
      <w:sz w:val="32"/>
      <w:szCs w:val="40"/>
      <w:lang w:val="es-CO"/>
    </w:rPr>
  </w:style>
  <w:style w:type="character" w:styleId="Ttulo2Car" w:customStyle="1">
    <w:name w:val="Título 2 Car"/>
    <w:basedOn w:val="Fuentedeprrafopredeter"/>
    <w:rPr>
      <w:rFonts w:ascii="Dosis" w:hAnsi="Dosis" w:eastAsia="Yu Gothic Light" w:cs="Times New Roman"/>
      <w:b/>
      <w:sz w:val="26"/>
      <w:szCs w:val="32"/>
      <w:lang w:val="es-CO"/>
    </w:rPr>
  </w:style>
  <w:style w:type="character" w:styleId="Ttulo3Car" w:customStyle="1">
    <w:name w:val="Título 3 Car"/>
    <w:basedOn w:val="Fuentedeprrafopredeter"/>
    <w:rPr>
      <w:rFonts w:ascii="Dosis" w:hAnsi="Dosis" w:eastAsia="Yu Gothic Light" w:cs="Times New Roman"/>
      <w:b/>
      <w:szCs w:val="28"/>
      <w:lang w:val="es-CO"/>
    </w:rPr>
  </w:style>
  <w:style w:type="character" w:styleId="Ttulo4Car" w:customStyle="1">
    <w:name w:val="Título 4 Car"/>
    <w:basedOn w:val="Fuentedeprrafopredeter"/>
    <w:rPr>
      <w:rFonts w:ascii="Dosis" w:hAnsi="Dosis" w:eastAsia="Yu Gothic Light" w:cs="Times New Roman"/>
      <w:iCs/>
      <w:sz w:val="22"/>
      <w:szCs w:val="22"/>
      <w:u w:val="single"/>
      <w:lang w:val="es-CO"/>
    </w:rPr>
  </w:style>
  <w:style w:type="character" w:styleId="Ttulo5Car" w:customStyle="1">
    <w:name w:val="Título 5 Car"/>
    <w:basedOn w:val="Fuentedeprrafopredeter"/>
    <w:rPr>
      <w:rFonts w:eastAsia="Yu Gothic Light" w:cs="Times New Roman"/>
      <w:color w:val="0F4761"/>
    </w:rPr>
  </w:style>
  <w:style w:type="character" w:styleId="Ttulo6Car" w:customStyle="1">
    <w:name w:val="Título 6 Car"/>
    <w:basedOn w:val="Fuentedeprrafopredeter"/>
    <w:rPr>
      <w:rFonts w:eastAsia="Yu Gothic Light" w:cs="Times New Roman"/>
      <w:i/>
      <w:iCs/>
      <w:color w:val="595959"/>
    </w:rPr>
  </w:style>
  <w:style w:type="character" w:styleId="Ttulo7Car" w:customStyle="1">
    <w:name w:val="Título 7 Car"/>
    <w:basedOn w:val="Fuentedeprrafopredeter"/>
    <w:rPr>
      <w:rFonts w:eastAsia="Yu Gothic Light" w:cs="Times New Roman"/>
      <w:color w:val="595959"/>
    </w:rPr>
  </w:style>
  <w:style w:type="character" w:styleId="Ttulo8Car" w:customStyle="1">
    <w:name w:val="Título 8 Car"/>
    <w:basedOn w:val="Fuentedeprrafopredeter"/>
    <w:rPr>
      <w:rFonts w:eastAsia="Yu Gothic Light" w:cs="Times New Roman"/>
      <w:i/>
      <w:iCs/>
      <w:color w:val="272727"/>
    </w:rPr>
  </w:style>
  <w:style w:type="character" w:styleId="Ttulo9Car" w:customStyle="1">
    <w:name w:val="Título 9 Car"/>
    <w:basedOn w:val="Fuentedeprrafopredeter"/>
    <w:rPr>
      <w:rFonts w:eastAsia="Yu Gothic Light" w:cs="Times New Roman"/>
      <w:color w:val="272727"/>
    </w:rPr>
  </w:style>
  <w:style w:type="paragraph" w:styleId="Ttulo">
    <w:name w:val="Title"/>
    <w:basedOn w:val="Normal"/>
    <w:next w:val="Normal"/>
    <w:uiPriority w:val="10"/>
    <w:qFormat/>
    <w:pPr>
      <w:spacing w:after="80" w:line="240" w:lineRule="auto"/>
    </w:pPr>
    <w:rPr>
      <w:rFonts w:ascii="Aptos Display" w:hAnsi="Aptos Display" w:eastAsia="Yu Gothic Light" w:cs="Times New Roman"/>
      <w:spacing w:val="-10"/>
      <w:sz w:val="56"/>
      <w:szCs w:val="56"/>
    </w:rPr>
  </w:style>
  <w:style w:type="character" w:styleId="TtuloCar" w:customStyle="1">
    <w:name w:val="Título Car"/>
    <w:basedOn w:val="Fuentedeprrafopredeter"/>
    <w:rPr>
      <w:rFonts w:ascii="Aptos Display" w:hAnsi="Aptos Display" w:eastAsia="Yu Gothic Light" w:cs="Times New Roman"/>
      <w:spacing w:val="-10"/>
      <w:kern w:val="3"/>
      <w:sz w:val="56"/>
      <w:szCs w:val="56"/>
    </w:rPr>
  </w:style>
  <w:style w:type="paragraph" w:styleId="Subttulo">
    <w:name w:val="Subtitle"/>
    <w:basedOn w:val="Normal"/>
    <w:next w:val="Normal"/>
    <w:uiPriority w:val="11"/>
    <w:qFormat/>
    <w:rPr>
      <w:rFonts w:eastAsia="Yu Gothic Light" w:cs="Times New Roman"/>
      <w:color w:val="595959"/>
      <w:spacing w:val="15"/>
      <w:sz w:val="28"/>
      <w:szCs w:val="28"/>
    </w:rPr>
  </w:style>
  <w:style w:type="character" w:styleId="SubttuloCar" w:customStyle="1">
    <w:name w:val="Subtítulo Car"/>
    <w:basedOn w:val="Fuentedeprrafopredeter"/>
    <w:rPr>
      <w:rFonts w:eastAsia="Yu Gothic Light" w:cs="Times New Roman"/>
      <w:color w:val="595959"/>
      <w:spacing w:val="15"/>
      <w:sz w:val="28"/>
      <w:szCs w:val="28"/>
    </w:rPr>
  </w:style>
  <w:style w:type="paragraph" w:styleId="Cita">
    <w:name w:val="Quote"/>
    <w:basedOn w:val="Normal"/>
    <w:next w:val="Normal"/>
    <w:pPr>
      <w:spacing w:before="160"/>
      <w:jc w:val="center"/>
    </w:pPr>
    <w:rPr>
      <w:i/>
      <w:iCs/>
      <w:color w:val="404040"/>
    </w:rPr>
  </w:style>
  <w:style w:type="character" w:styleId="CitaCar" w:customStyle="1">
    <w:name w:val="Cita Car"/>
    <w:basedOn w:val="Fuentedeprrafopredeter"/>
    <w:rPr>
      <w:i/>
      <w:iCs/>
      <w:color w:val="404040"/>
    </w:rPr>
  </w:style>
  <w:style w:type="paragraph" w:styleId="Prrafodelista">
    <w:name w:val="List Paragraph"/>
    <w:basedOn w:val="Normal"/>
    <w:pPr>
      <w:ind w:left="720"/>
    </w:pPr>
  </w:style>
  <w:style w:type="character" w:styleId="nfasisintenso">
    <w:name w:val="Intense Emphasis"/>
    <w:basedOn w:val="Fuentedeprrafopredeter"/>
    <w:rPr>
      <w:i/>
      <w:iCs/>
      <w:color w:val="0F4761"/>
    </w:rPr>
  </w:style>
  <w:style w:type="paragraph" w:styleId="Citadestacada">
    <w:name w:val="Intense Quote"/>
    <w:basedOn w:val="Normal"/>
    <w:next w:val="Normal"/>
    <w:pPr>
      <w:pBdr>
        <w:top w:val="single" w:color="0F4761" w:sz="4" w:space="10"/>
        <w:bottom w:val="single" w:color="0F4761" w:sz="4" w:space="10"/>
      </w:pBdr>
      <w:spacing w:before="360" w:after="360"/>
      <w:ind w:left="864" w:right="864"/>
      <w:jc w:val="center"/>
    </w:pPr>
    <w:rPr>
      <w:i/>
      <w:iCs/>
      <w:color w:val="0F4761"/>
    </w:rPr>
  </w:style>
  <w:style w:type="character" w:styleId="CitadestacadaCar" w:customStyle="1">
    <w:name w:val="Cita destacada Car"/>
    <w:basedOn w:val="Fuentedeprrafopredeter"/>
    <w:rPr>
      <w:i/>
      <w:iCs/>
      <w:color w:val="0F4761"/>
    </w:rPr>
  </w:style>
  <w:style w:type="character" w:styleId="Referenciaintensa">
    <w:name w:val="Intense Reference"/>
    <w:basedOn w:val="Fuentedeprrafopredeter"/>
    <w:rPr>
      <w:b/>
      <w:bCs/>
      <w:smallCaps/>
      <w:color w:val="0F4761"/>
      <w:spacing w:val="5"/>
    </w:rPr>
  </w:style>
  <w:style w:type="paragraph" w:styleId="Encabezado">
    <w:name w:val="header"/>
    <w:basedOn w:val="Normal"/>
    <w:pPr>
      <w:tabs>
        <w:tab w:val="center" w:pos="4252"/>
        <w:tab w:val="right" w:pos="8504"/>
      </w:tabs>
      <w:spacing w:after="0" w:line="240" w:lineRule="auto"/>
    </w:pPr>
  </w:style>
  <w:style w:type="character" w:styleId="EncabezadoCar" w:customStyle="1">
    <w:name w:val="Encabezado Car"/>
    <w:basedOn w:val="Fuentedeprrafopredeter"/>
  </w:style>
  <w:style w:type="paragraph" w:styleId="Piedepgina">
    <w:name w:val="footer"/>
    <w:basedOn w:val="Normal"/>
    <w:pPr>
      <w:tabs>
        <w:tab w:val="center" w:pos="4252"/>
        <w:tab w:val="right" w:pos="8504"/>
      </w:tabs>
      <w:spacing w:after="0" w:line="240" w:lineRule="auto"/>
    </w:pPr>
  </w:style>
  <w:style w:type="character" w:styleId="PiedepginaCar" w:customStyle="1">
    <w:name w:val="Pie de página Car"/>
    <w:basedOn w:val="Fuentedeprrafopredeter"/>
  </w:style>
  <w:style w:type="paragraph" w:styleId="Textocomentario">
    <w:name w:val="annotation text"/>
    <w:basedOn w:val="Normal"/>
    <w:pPr>
      <w:spacing w:line="240" w:lineRule="auto"/>
    </w:pPr>
    <w:rPr>
      <w:sz w:val="20"/>
      <w:szCs w:val="20"/>
    </w:rPr>
  </w:style>
  <w:style w:type="character" w:styleId="TextocomentarioCar" w:customStyle="1">
    <w:name w:val="Texto comentario Car"/>
    <w:basedOn w:val="Fuentedeprrafopredeter"/>
    <w:rPr>
      <w:sz w:val="20"/>
      <w:szCs w:val="20"/>
      <w:lang w:val="es-CO"/>
    </w:rPr>
  </w:style>
  <w:style w:type="character" w:styleId="Refdecomentario">
    <w:name w:val="annotation reference"/>
    <w:basedOn w:val="Fuentedeprrafopredeter"/>
    <w:rPr>
      <w:sz w:val="16"/>
      <w:szCs w:val="16"/>
    </w:rPr>
  </w:style>
  <w:style w:type="paragraph" w:styleId="Asuntodelcomentario">
    <w:name w:val="annotation subject"/>
    <w:basedOn w:val="Textocomentario"/>
    <w:next w:val="Textocomentario"/>
    <w:rPr>
      <w:b/>
      <w:bCs/>
    </w:rPr>
  </w:style>
  <w:style w:type="character" w:styleId="AsuntodelcomentarioCar" w:customStyle="1">
    <w:name w:val="Asunto del comentario Car"/>
    <w:basedOn w:val="TextocomentarioCar"/>
    <w:rPr>
      <w:b/>
      <w:bCs/>
      <w:sz w:val="20"/>
      <w:szCs w:val="20"/>
      <w:lang w:val="es-CO"/>
    </w:rPr>
  </w:style>
  <w:style w:type="paragraph" w:styleId="Revisin">
    <w:name w:val="Revision"/>
    <w:pPr>
      <w:suppressAutoHyphens/>
      <w:spacing w:after="0" w:line="240" w:lineRule="auto"/>
    </w:pPr>
    <w:rPr>
      <w:sz w:val="22"/>
      <w:szCs w:val="22"/>
      <w:lang w:val="es-CO"/>
    </w:rPr>
  </w:style>
  <w:style w:type="paragraph" w:styleId="Textodeglobo">
    <w:name w:val="Balloon Text"/>
    <w:basedOn w:val="Normal"/>
    <w:pPr>
      <w:spacing w:after="0" w:line="240" w:lineRule="auto"/>
    </w:pPr>
    <w:rPr>
      <w:rFonts w:ascii="Segoe UI" w:hAnsi="Segoe UI" w:cs="Segoe UI"/>
      <w:sz w:val="18"/>
      <w:szCs w:val="18"/>
    </w:rPr>
  </w:style>
  <w:style w:type="character" w:styleId="TextodegloboCar" w:customStyle="1">
    <w:name w:val="Texto de globo Car"/>
    <w:basedOn w:val="Fuentedeprrafopredeter"/>
    <w:rPr>
      <w:rFonts w:ascii="Segoe UI" w:hAnsi="Segoe UI" w:cs="Segoe UI"/>
      <w:sz w:val="18"/>
      <w:szCs w:val="18"/>
      <w:lang w:val="es-CO"/>
    </w:rPr>
  </w:style>
  <w:style w:type="character" w:styleId="Hipervnculo">
    <w:name w:val="Hyperlink"/>
    <w:basedOn w:val="Fuentedeprrafopredeter"/>
    <w:rPr>
      <w:color w:val="0563C1"/>
      <w:u w:val="single"/>
    </w:rPr>
  </w:style>
  <w:style w:type="character" w:styleId="normaltextrun" w:customStyle="1">
    <w:name w:val="normaltextrun"/>
    <w:basedOn w:val="Fuentedeprrafopredeter"/>
  </w:style>
  <w:style w:type="character" w:styleId="scxw202039971" w:customStyle="1">
    <w:name w:val="scxw202039971"/>
    <w:basedOn w:val="Fuentedeprrafopredeter"/>
  </w:style>
  <w:style w:type="character" w:styleId="eop" w:customStyle="1">
    <w:name w:val="eop"/>
    <w:basedOn w:val="Fuentedeprrafopredeter"/>
  </w:style>
  <w:style w:type="character" w:styleId="Mencinsinresolver">
    <w:name w:val="Unresolved Mention"/>
    <w:basedOn w:val="Fuentedeprrafopredeter"/>
    <w:rPr>
      <w:color w:val="605E5C"/>
      <w:shd w:val="clear" w:color="auto" w:fill="E1DFDD"/>
    </w:rPr>
  </w:style>
  <w:style w:type="paragraph" w:styleId="Normal0" w:customStyle="1">
    <w:name w:val="Normal0"/>
    <w:basedOn w:val="Normal"/>
    <w:rPr>
      <w:rFonts w:ascii="Open Sans" w:hAnsi="Open Sans" w:eastAsia="Open Sans" w:cs="Open Sans"/>
    </w:rPr>
  </w:style>
  <w:style w:type="paragraph" w:styleId="TtuloTDC">
    <w:name w:val="TOC Heading"/>
    <w:basedOn w:val="Ttulo1"/>
    <w:next w:val="Normal"/>
    <w:pPr>
      <w:spacing w:before="480" w:after="0" w:line="276" w:lineRule="auto"/>
    </w:pPr>
    <w:rPr>
      <w:rFonts w:ascii="Arial Narrow" w:hAnsi="Arial Narrow"/>
      <w:b w:val="0"/>
      <w:bCs/>
      <w:kern w:val="0"/>
      <w:sz w:val="28"/>
      <w:szCs w:val="28"/>
      <w:lang w:eastAsia="es-MX"/>
    </w:rPr>
  </w:style>
  <w:style w:type="paragraph" w:styleId="TDC1">
    <w:name w:val="toc 1"/>
    <w:basedOn w:val="Normal"/>
    <w:next w:val="Normal"/>
    <w:autoRedefine/>
    <w:pPr>
      <w:tabs>
        <w:tab w:val="left" w:pos="284"/>
        <w:tab w:val="right" w:leader="dot" w:pos="9396"/>
      </w:tabs>
      <w:spacing w:after="0" w:line="240" w:lineRule="auto"/>
    </w:pPr>
    <w:rPr>
      <w:rFonts w:cs="Aptos"/>
      <w:b/>
      <w:bCs/>
      <w:sz w:val="20"/>
      <w:szCs w:val="20"/>
    </w:rPr>
  </w:style>
  <w:style w:type="paragraph" w:styleId="TDC2">
    <w:name w:val="toc 2"/>
    <w:basedOn w:val="Normal"/>
    <w:next w:val="Normal"/>
    <w:autoRedefine/>
    <w:pPr>
      <w:tabs>
        <w:tab w:val="left" w:pos="567"/>
        <w:tab w:val="right" w:leader="dot" w:pos="9396"/>
      </w:tabs>
      <w:spacing w:after="0" w:line="240" w:lineRule="auto"/>
      <w:ind w:left="284"/>
    </w:pPr>
    <w:rPr>
      <w:rFonts w:cs="Aptos"/>
      <w:sz w:val="20"/>
      <w:szCs w:val="20"/>
    </w:rPr>
  </w:style>
  <w:style w:type="paragraph" w:styleId="TDC3">
    <w:name w:val="toc 3"/>
    <w:basedOn w:val="Normal"/>
    <w:next w:val="Normal"/>
    <w:autoRedefine/>
    <w:pPr>
      <w:tabs>
        <w:tab w:val="left" w:pos="880"/>
        <w:tab w:val="right" w:leader="dot" w:pos="9396"/>
      </w:tabs>
      <w:spacing w:after="0" w:line="240" w:lineRule="auto"/>
      <w:ind w:left="709"/>
    </w:pPr>
    <w:rPr>
      <w:rFonts w:cs="Aptos"/>
      <w:iCs/>
      <w:sz w:val="20"/>
      <w:szCs w:val="20"/>
    </w:rPr>
  </w:style>
  <w:style w:type="paragraph" w:styleId="TDC4">
    <w:name w:val="toc 4"/>
    <w:basedOn w:val="Normal"/>
    <w:next w:val="Normal"/>
    <w:autoRedefine/>
    <w:pPr>
      <w:tabs>
        <w:tab w:val="left" w:pos="1276"/>
        <w:tab w:val="right" w:leader="dot" w:pos="9396"/>
      </w:tabs>
      <w:spacing w:after="0" w:line="240" w:lineRule="auto"/>
      <w:ind w:left="992"/>
    </w:pPr>
    <w:rPr>
      <w:rFonts w:cs="Aptos"/>
      <w:sz w:val="20"/>
      <w:szCs w:val="18"/>
    </w:rPr>
  </w:style>
  <w:style w:type="paragraph" w:styleId="TDC5">
    <w:name w:val="toc 5"/>
    <w:basedOn w:val="Normal"/>
    <w:next w:val="Normal"/>
    <w:autoRedefine/>
    <w:pPr>
      <w:spacing w:after="0"/>
      <w:ind w:left="880"/>
    </w:pPr>
    <w:rPr>
      <w:rFonts w:cs="Aptos"/>
      <w:sz w:val="18"/>
      <w:szCs w:val="18"/>
    </w:rPr>
  </w:style>
  <w:style w:type="paragraph" w:styleId="TDC6">
    <w:name w:val="toc 6"/>
    <w:basedOn w:val="Normal"/>
    <w:next w:val="Normal"/>
    <w:autoRedefine/>
    <w:pPr>
      <w:spacing w:after="0"/>
      <w:ind w:left="1100"/>
    </w:pPr>
    <w:rPr>
      <w:rFonts w:cs="Aptos"/>
      <w:sz w:val="18"/>
      <w:szCs w:val="18"/>
    </w:rPr>
  </w:style>
  <w:style w:type="paragraph" w:styleId="TDC7">
    <w:name w:val="toc 7"/>
    <w:basedOn w:val="Normal"/>
    <w:next w:val="Normal"/>
    <w:autoRedefine/>
    <w:pPr>
      <w:spacing w:after="0"/>
      <w:ind w:left="1320"/>
    </w:pPr>
    <w:rPr>
      <w:rFonts w:cs="Aptos"/>
      <w:sz w:val="18"/>
      <w:szCs w:val="18"/>
    </w:rPr>
  </w:style>
  <w:style w:type="paragraph" w:styleId="TDC8">
    <w:name w:val="toc 8"/>
    <w:basedOn w:val="Normal"/>
    <w:next w:val="Normal"/>
    <w:autoRedefine/>
    <w:pPr>
      <w:spacing w:after="0"/>
      <w:ind w:left="1540"/>
    </w:pPr>
    <w:rPr>
      <w:rFonts w:cs="Aptos"/>
      <w:sz w:val="18"/>
      <w:szCs w:val="18"/>
    </w:rPr>
  </w:style>
  <w:style w:type="paragraph" w:styleId="TDC9">
    <w:name w:val="toc 9"/>
    <w:basedOn w:val="Normal"/>
    <w:next w:val="Normal"/>
    <w:autoRedefine/>
    <w:pPr>
      <w:spacing w:after="0"/>
      <w:ind w:left="1760"/>
    </w:pPr>
    <w:rPr>
      <w:rFonts w:cs="Aptos"/>
      <w:sz w:val="18"/>
      <w:szCs w:val="18"/>
    </w:rPr>
  </w:style>
  <w:style w:type="paragraph" w:styleId="NormalWeb">
    <w:name w:val="Normal (Web)"/>
    <w:basedOn w:val="Normal"/>
    <w:uiPriority w:val="99"/>
    <w:pPr>
      <w:spacing w:before="100" w:after="100" w:line="240" w:lineRule="auto"/>
      <w:jc w:val="left"/>
    </w:pPr>
    <w:rPr>
      <w:rFonts w:ascii="Times New Roman" w:hAnsi="Times New Roman" w:eastAsia="Times New Roman" w:cs="Times New Roman"/>
      <w:kern w:val="0"/>
      <w:sz w:val="24"/>
      <w:szCs w:val="24"/>
      <w:lang w:eastAsia="es-MX"/>
    </w:rPr>
  </w:style>
  <w:style w:type="character" w:styleId="Textoennegrita">
    <w:name w:val="Strong"/>
    <w:basedOn w:val="Fuentedeprrafopredeter"/>
    <w:uiPriority w:val="22"/>
    <w:qFormat/>
    <w:rPr>
      <w:b/>
      <w:bCs/>
    </w:rPr>
  </w:style>
  <w:style w:type="character" w:styleId="nfasis">
    <w:name w:val="Emphasis"/>
    <w:basedOn w:val="Fuentedeprrafopredeter"/>
    <w:rPr>
      <w:i/>
      <w:iCs/>
    </w:rPr>
  </w:style>
  <w:style w:type="character" w:styleId="Mencionar">
    <w:name w:val="Mention"/>
    <w:basedOn w:val="Fuentedeprrafopredeter"/>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03cd94-47b9-4e94-9f80-c0f7fd5f8964">
      <Terms xmlns="http://schemas.microsoft.com/office/infopath/2007/PartnerControls"/>
    </lcf76f155ced4ddcb4097134ff3c332f>
    <TaxCatchAll xmlns="ba0cf52e-aa60-4300-878b-ad5cd672df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CE799D4DA3C04CB9BCB8CD1DF94704" ma:contentTypeVersion="11" ma:contentTypeDescription="Crear nuevo documento." ma:contentTypeScope="" ma:versionID="ecfb1310a4d675760852de24a01af554">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5019fa12d5c22ff2994e0b698aaa4f9d"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978133-2689-4239-AD8C-5E593F1E0D31}">
  <ds:schemaRefs>
    <ds:schemaRef ds:uri="http://schemas.microsoft.com/office/2006/metadata/properties"/>
    <ds:schemaRef ds:uri="http://schemas.microsoft.com/office/infopath/2007/PartnerControls"/>
    <ds:schemaRef ds:uri="0d03cd94-47b9-4e94-9f80-c0f7fd5f8964"/>
    <ds:schemaRef ds:uri="ba0cf52e-aa60-4300-878b-ad5cd672df3d"/>
  </ds:schemaRefs>
</ds:datastoreItem>
</file>

<file path=customXml/itemProps2.xml><?xml version="1.0" encoding="utf-8"?>
<ds:datastoreItem xmlns:ds="http://schemas.openxmlformats.org/officeDocument/2006/customXml" ds:itemID="{E127BCEF-F28E-4CFB-B709-5B78AC5FDAE2}">
  <ds:schemaRefs>
    <ds:schemaRef ds:uri="http://schemas.microsoft.com/sharepoint/v3/contenttype/forms"/>
  </ds:schemaRefs>
</ds:datastoreItem>
</file>

<file path=customXml/itemProps3.xml><?xml version="1.0" encoding="utf-8"?>
<ds:datastoreItem xmlns:ds="http://schemas.openxmlformats.org/officeDocument/2006/customXml" ds:itemID="{4138A898-F2BE-4EEE-86DD-EC93033C25E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 Reto de Ciudad 2</dc:title>
  <dc:subject/>
  <dc:creator>Jose Monterroza</dc:creator>
  <dc:description/>
  <cp:lastModifiedBy>Natalia Ramirez Munoz</cp:lastModifiedBy>
  <cp:revision>21</cp:revision>
  <cp:lastPrinted>2025-12-11T02:49:00Z</cp:lastPrinted>
  <dcterms:created xsi:type="dcterms:W3CDTF">2025-12-19T13:15:00Z</dcterms:created>
  <dcterms:modified xsi:type="dcterms:W3CDTF">2025-12-19T13:15:42Z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0x010100B3CE799D4DA3C04CB9BCB8CD1DF94704</vt:lpwstr>
  </property>
  <property fmtid="{D5CDD505-2E9C-101B-9397-08002B2CF9AE}" pid="3" name="MediaServiceImageTags">
    <vt:lpwstr/>
  </property>
</Properties>
</file>